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1D28866" w14:textId="645039AB" w:rsidR="00313E6A" w:rsidRDefault="00313E6A" w:rsidP="00313E6A">
      <w:pPr>
        <w:pStyle w:val="Title"/>
      </w:pPr>
      <w:r>
        <w:t>Deuteronomy 26</w:t>
      </w:r>
      <w:r w:rsidR="00911936">
        <w:t xml:space="preserve"> – Confirming the Covenant</w:t>
      </w:r>
    </w:p>
    <w:p w14:paraId="24C784C0" w14:textId="7B68A6F4" w:rsidR="00313E6A" w:rsidRDefault="002A2C7A" w:rsidP="00313E6A">
      <w:pPr>
        <w:pStyle w:val="Normal-Manual"/>
        <w:numPr>
          <w:ilvl w:val="0"/>
          <w:numId w:val="2"/>
        </w:numPr>
      </w:pPr>
      <w:r>
        <w:t>Chapter 26</w:t>
      </w:r>
      <w:r w:rsidR="00665A76">
        <w:t xml:space="preserve"> is the closing out of an extended section of direct discourse from </w:t>
      </w:r>
      <w:r w:rsidR="007F6D7B">
        <w:t xml:space="preserve">God through </w:t>
      </w:r>
      <w:r w:rsidR="00665A76">
        <w:t>Moses to the people, begin</w:t>
      </w:r>
      <w:r w:rsidR="00D63F9A">
        <w:t>nin</w:t>
      </w:r>
      <w:r w:rsidR="00665A76">
        <w:t xml:space="preserve">g back in 5:1. </w:t>
      </w:r>
      <w:r w:rsidR="00D63F9A">
        <w:t xml:space="preserve">God gives specific commands for the people as to how they should worship once they have received the land. It is presented in the form of a dialogue between the people, the </w:t>
      </w:r>
      <w:r w:rsidR="000C2ADB">
        <w:t>H</w:t>
      </w:r>
      <w:r w:rsidR="00D63F9A">
        <w:t xml:space="preserve">igh </w:t>
      </w:r>
      <w:r w:rsidR="000C2ADB">
        <w:t>P</w:t>
      </w:r>
      <w:r w:rsidR="00D63F9A">
        <w:t xml:space="preserve">riest and God. Through this, the people recount God’s redemption and love for them in bringing them from slavery to the </w:t>
      </w:r>
      <w:r w:rsidR="000C2ADB">
        <w:t>P</w:t>
      </w:r>
      <w:r w:rsidR="00D63F9A">
        <w:t xml:space="preserve">romised </w:t>
      </w:r>
      <w:r w:rsidR="000C2ADB">
        <w:t>L</w:t>
      </w:r>
      <w:r w:rsidR="00D63F9A">
        <w:t>and. Their response is to bring God their first fruits and participate in joyful worship, with everyone who is in the land</w:t>
      </w:r>
      <w:r>
        <w:t>, including those who do not hold land titles</w:t>
      </w:r>
      <w:r w:rsidR="00D63F9A">
        <w:t xml:space="preserve">. </w:t>
      </w:r>
      <w:r>
        <w:t xml:space="preserve">Tied </w:t>
      </w:r>
      <w:r w:rsidR="000C2ADB">
        <w:t xml:space="preserve">to </w:t>
      </w:r>
      <w:r>
        <w:t>this is the reminder to observe the third-year tithe. It</w:t>
      </w:r>
      <w:r w:rsidR="00550D75">
        <w:t>s</w:t>
      </w:r>
      <w:r>
        <w:t xml:space="preserve"> position following firstfruits serves</w:t>
      </w:r>
      <w:r w:rsidR="000C2ADB">
        <w:t>,</w:t>
      </w:r>
      <w:r>
        <w:t xml:space="preserve"> “</w:t>
      </w:r>
      <w:r w:rsidRPr="002A2C7A">
        <w:rPr>
          <w:rFonts w:cs="Times New Roman"/>
          <w:color w:val="auto"/>
        </w:rPr>
        <w:t xml:space="preserve">to reinforce the idea that the benevolence of God’s people was to operate in two dimensions, the vertical and the horizontal. </w:t>
      </w:r>
      <w:proofErr w:type="gramStart"/>
      <w:r w:rsidRPr="002A2C7A">
        <w:rPr>
          <w:rFonts w:cs="Times New Roman"/>
          <w:color w:val="auto"/>
        </w:rPr>
        <w:t>Thus</w:t>
      </w:r>
      <w:proofErr w:type="gramEnd"/>
      <w:r w:rsidRPr="002A2C7A">
        <w:rPr>
          <w:rFonts w:cs="Times New Roman"/>
          <w:color w:val="auto"/>
        </w:rPr>
        <w:t xml:space="preserve"> the offering of firstfruits to the Lord (26:1–11) could not be separated from the beneficence to be shown to fellow kingdom citizens (vv. 12–15).</w:t>
      </w:r>
      <w:r>
        <w:rPr>
          <w:rFonts w:cs="Times New Roman"/>
          <w:color w:val="auto"/>
        </w:rPr>
        <w:t>”</w:t>
      </w:r>
      <w:r w:rsidRPr="002A2C7A">
        <w:rPr>
          <w:rFonts w:cs="Times New Roman"/>
          <w:color w:val="auto"/>
          <w:vertAlign w:val="superscript"/>
        </w:rPr>
        <w:footnoteReference w:id="2"/>
      </w:r>
    </w:p>
    <w:p w14:paraId="153C8F79" w14:textId="0471EA0A" w:rsidR="00D63F9A" w:rsidRDefault="002A2C7A" w:rsidP="00D63F9A">
      <w:pPr>
        <w:pStyle w:val="Normal-Manual"/>
        <w:numPr>
          <w:ilvl w:val="0"/>
          <w:numId w:val="2"/>
        </w:numPr>
      </w:pPr>
      <w:r>
        <w:t>The chapter</w:t>
      </w:r>
      <w:r w:rsidR="00D63F9A">
        <w:t xml:space="preserve"> closes with a </w:t>
      </w:r>
      <w:r>
        <w:t xml:space="preserve">charge to </w:t>
      </w:r>
      <w:r w:rsidR="00D63F9A">
        <w:t xml:space="preserve">covenant </w:t>
      </w:r>
      <w:r>
        <w:t>commitment</w:t>
      </w:r>
      <w:r w:rsidR="00D63F9A">
        <w:t xml:space="preserve">. The people must obey not only because God has commanded </w:t>
      </w:r>
      <w:r w:rsidR="008D1617">
        <w:t>them,</w:t>
      </w:r>
      <w:r w:rsidR="00D63F9A">
        <w:t xml:space="preserve"> and they have declared their allegiance to </w:t>
      </w:r>
      <w:r w:rsidR="000C2ADB">
        <w:t>H</w:t>
      </w:r>
      <w:r w:rsidR="00D63F9A">
        <w:t xml:space="preserve">im, but because God has loved them and made them </w:t>
      </w:r>
      <w:r w:rsidR="000C2ADB">
        <w:t>H</w:t>
      </w:r>
      <w:r w:rsidR="00D63F9A">
        <w:t xml:space="preserve">is own. An understanding of </w:t>
      </w:r>
      <w:r w:rsidR="000C2ADB">
        <w:t>H</w:t>
      </w:r>
      <w:r w:rsidR="00D63F9A">
        <w:t>is heart and plans for them ought to motivate their obedience.</w:t>
      </w:r>
      <w:r w:rsidR="00A70046">
        <w:t xml:space="preserve"> Therefore, this section not only functions to conclude the detailed explanation of the law</w:t>
      </w:r>
      <w:r>
        <w:t xml:space="preserve"> begun in chapter </w:t>
      </w:r>
      <w:r w:rsidRPr="00667F65">
        <w:rPr>
          <w:noProof/>
        </w:rPr>
        <w:t>12</w:t>
      </w:r>
      <w:r w:rsidR="000C2ADB">
        <w:rPr>
          <w:noProof/>
        </w:rPr>
        <w:t>,</w:t>
      </w:r>
      <w:r w:rsidR="00A70046">
        <w:t xml:space="preserve"> but also acts as a transition into the coming discourse on blessings and curses</w:t>
      </w:r>
      <w:r>
        <w:t xml:space="preserve"> in the following two chapters</w:t>
      </w:r>
      <w:r w:rsidR="00A70046">
        <w:t>.</w:t>
      </w:r>
      <w:r w:rsidR="00A70046">
        <w:rPr>
          <w:rStyle w:val="FootnoteReference"/>
        </w:rPr>
        <w:footnoteReference w:id="3"/>
      </w:r>
    </w:p>
    <w:p w14:paraId="4F58C0A4" w14:textId="77777777" w:rsidR="00313E6A" w:rsidRDefault="00313E6A" w:rsidP="00313E6A">
      <w:pPr>
        <w:pStyle w:val="Normal-Manual"/>
      </w:pPr>
    </w:p>
    <w:p w14:paraId="1AE32973" w14:textId="60FF571E" w:rsidR="00313E6A" w:rsidRDefault="00313E6A" w:rsidP="00313E6A">
      <w:pPr>
        <w:pStyle w:val="Heading2"/>
      </w:pPr>
      <w:r>
        <w:t>Deut. 2</w:t>
      </w:r>
      <w:r w:rsidR="003302B0">
        <w:t>6</w:t>
      </w:r>
      <w:r>
        <w:t>:</w:t>
      </w:r>
      <w:r w:rsidR="003302B0">
        <w:t>1</w:t>
      </w:r>
      <w:r>
        <w:t>-</w:t>
      </w:r>
      <w:r w:rsidR="008273AB">
        <w:t>15</w:t>
      </w:r>
      <w:r>
        <w:t xml:space="preserve"> ~ </w:t>
      </w:r>
      <w:r w:rsidR="008273AB" w:rsidRPr="008273AB">
        <w:t>Laws of Covenant Celebration and Confirmation</w:t>
      </w:r>
      <w:r w:rsidR="008273AB" w:rsidRPr="008273AB">
        <w:rPr>
          <w:vertAlign w:val="superscript"/>
        </w:rPr>
        <w:footnoteReference w:id="4"/>
      </w:r>
    </w:p>
    <w:p w14:paraId="17B9DA66" w14:textId="10349FDF" w:rsidR="00313E6A" w:rsidRDefault="00313E6A" w:rsidP="00313E6A">
      <w:pPr>
        <w:pStyle w:val="Normal-Manual"/>
        <w:tabs>
          <w:tab w:val="clear" w:pos="360"/>
        </w:tabs>
        <w:ind w:left="360"/>
      </w:pPr>
      <w:r w:rsidRPr="009C22D1">
        <w:t xml:space="preserve">1. </w:t>
      </w:r>
      <w:r w:rsidR="00867510" w:rsidRPr="009C22D1">
        <w:rPr>
          <w:b/>
          <w:bCs/>
          <w:noProof/>
          <w:u w:val="single"/>
        </w:rPr>
        <w:t>Firstfruits</w:t>
      </w:r>
      <w:r w:rsidRPr="009C22D1">
        <w:rPr>
          <w:b/>
          <w:bCs/>
          <w:noProof/>
          <w:u w:val="single"/>
        </w:rPr>
        <w:t>,</w:t>
      </w:r>
      <w:r w:rsidRPr="009C22D1">
        <w:rPr>
          <w:b/>
          <w:bCs/>
          <w:u w:val="single"/>
        </w:rPr>
        <w:t xml:space="preserve"> </w:t>
      </w:r>
      <w:r w:rsidRPr="009C22D1">
        <w:rPr>
          <w:b/>
          <w:bCs/>
          <w:noProof/>
          <w:u w:val="single"/>
        </w:rPr>
        <w:t>vv</w:t>
      </w:r>
      <w:r w:rsidRPr="009C22D1">
        <w:rPr>
          <w:b/>
          <w:bCs/>
          <w:u w:val="single"/>
        </w:rPr>
        <w:t xml:space="preserve">. </w:t>
      </w:r>
      <w:r w:rsidR="00867510" w:rsidRPr="009C22D1">
        <w:rPr>
          <w:b/>
          <w:bCs/>
          <w:u w:val="single"/>
        </w:rPr>
        <w:t>1-11</w:t>
      </w:r>
      <w:r w:rsidRPr="009C22D1">
        <w:t>:</w:t>
      </w:r>
      <w:r>
        <w:t xml:space="preserve"> </w:t>
      </w:r>
    </w:p>
    <w:p w14:paraId="03A4F570" w14:textId="34019E10" w:rsidR="008273AB" w:rsidRPr="000B1DDC" w:rsidRDefault="008273AB" w:rsidP="007F6D7B">
      <w:pPr>
        <w:pStyle w:val="NormalWeb"/>
        <w:rPr>
          <w:i/>
        </w:rPr>
      </w:pPr>
      <w:r w:rsidRPr="000B1DDC">
        <w:rPr>
          <w:i/>
          <w:vertAlign w:val="superscript"/>
          <w:lang w:val="en"/>
        </w:rPr>
        <w:t>1</w:t>
      </w:r>
      <w:r w:rsidRPr="000B1DDC">
        <w:rPr>
          <w:i/>
          <w:lang w:val="en"/>
        </w:rPr>
        <w:t xml:space="preserve"> </w:t>
      </w:r>
      <w:r w:rsidRPr="000B1DDC">
        <w:rPr>
          <w:i/>
        </w:rPr>
        <w:t xml:space="preserve">“Then it shall be, when you enter the land which the </w:t>
      </w:r>
      <w:r w:rsidRPr="000B1DDC">
        <w:rPr>
          <w:i/>
          <w:smallCaps/>
        </w:rPr>
        <w:t>Lord</w:t>
      </w:r>
      <w:r w:rsidRPr="000B1DDC">
        <w:rPr>
          <w:i/>
        </w:rPr>
        <w:t xml:space="preserve"> your God gives you as an inheritance, and you possess it and live in it, </w:t>
      </w:r>
      <w:r w:rsidRPr="000B1DDC">
        <w:rPr>
          <w:i/>
          <w:vertAlign w:val="superscript"/>
          <w:lang w:val="en"/>
        </w:rPr>
        <w:t>2</w:t>
      </w:r>
      <w:r w:rsidRPr="000B1DDC">
        <w:rPr>
          <w:i/>
          <w:lang w:val="en"/>
        </w:rPr>
        <w:t xml:space="preserve"> </w:t>
      </w:r>
      <w:r w:rsidRPr="000B1DDC">
        <w:rPr>
          <w:i/>
        </w:rPr>
        <w:t xml:space="preserve">that you shall take some of the first of all the produce of the ground which you bring in from your land that the </w:t>
      </w:r>
      <w:r w:rsidRPr="000B1DDC">
        <w:rPr>
          <w:i/>
          <w:smallCaps/>
        </w:rPr>
        <w:t>Lord</w:t>
      </w:r>
      <w:r w:rsidRPr="000B1DDC">
        <w:rPr>
          <w:i/>
        </w:rPr>
        <w:t xml:space="preserve"> your God gives you, and you shall put </w:t>
      </w:r>
      <w:r w:rsidRPr="000B1DDC">
        <w:rPr>
          <w:i/>
          <w:iCs/>
        </w:rPr>
        <w:t>it</w:t>
      </w:r>
      <w:r w:rsidRPr="000B1DDC">
        <w:rPr>
          <w:i/>
        </w:rPr>
        <w:t xml:space="preserve"> in a basket and go to the place where the </w:t>
      </w:r>
      <w:r w:rsidRPr="000B1DDC">
        <w:rPr>
          <w:i/>
          <w:smallCaps/>
        </w:rPr>
        <w:t>Lord</w:t>
      </w:r>
      <w:r w:rsidRPr="000B1DDC">
        <w:rPr>
          <w:i/>
        </w:rPr>
        <w:t xml:space="preserve"> your God chooses to establish His name. </w:t>
      </w:r>
      <w:r w:rsidRPr="000B1DDC">
        <w:rPr>
          <w:i/>
          <w:vertAlign w:val="superscript"/>
          <w:lang w:val="en"/>
        </w:rPr>
        <w:t>3</w:t>
      </w:r>
      <w:r w:rsidRPr="000B1DDC">
        <w:rPr>
          <w:i/>
          <w:lang w:val="en"/>
        </w:rPr>
        <w:t xml:space="preserve"> </w:t>
      </w:r>
      <w:r w:rsidRPr="000B1DDC">
        <w:rPr>
          <w:i/>
        </w:rPr>
        <w:t xml:space="preserve">“You shall go to the priest who is in office at that time and say to him, ‘I declare this day to the </w:t>
      </w:r>
      <w:r w:rsidRPr="000B1DDC">
        <w:rPr>
          <w:i/>
          <w:smallCaps/>
        </w:rPr>
        <w:t>Lord</w:t>
      </w:r>
      <w:r w:rsidRPr="000B1DDC">
        <w:rPr>
          <w:i/>
        </w:rPr>
        <w:t xml:space="preserve"> my God that I have entered the land which the </w:t>
      </w:r>
      <w:r w:rsidRPr="000B1DDC">
        <w:rPr>
          <w:i/>
          <w:smallCaps/>
        </w:rPr>
        <w:t>Lord</w:t>
      </w:r>
      <w:r w:rsidRPr="000B1DDC">
        <w:rPr>
          <w:i/>
        </w:rPr>
        <w:t xml:space="preserve"> swore to our fathers to give us.’ </w:t>
      </w:r>
      <w:r w:rsidRPr="000B1DDC">
        <w:rPr>
          <w:i/>
          <w:vertAlign w:val="superscript"/>
          <w:lang w:val="en"/>
        </w:rPr>
        <w:t>4</w:t>
      </w:r>
      <w:r w:rsidRPr="000B1DDC">
        <w:rPr>
          <w:i/>
          <w:lang w:val="en"/>
        </w:rPr>
        <w:t xml:space="preserve"> </w:t>
      </w:r>
      <w:r w:rsidRPr="000B1DDC">
        <w:rPr>
          <w:i/>
        </w:rPr>
        <w:t xml:space="preserve">“Then the priest shall take the basket from your hand and set it down before the altar of the </w:t>
      </w:r>
      <w:r w:rsidRPr="000B1DDC">
        <w:rPr>
          <w:i/>
          <w:smallCaps/>
        </w:rPr>
        <w:t>Lord</w:t>
      </w:r>
      <w:r w:rsidRPr="000B1DDC">
        <w:rPr>
          <w:i/>
        </w:rPr>
        <w:t xml:space="preserve"> your God. </w:t>
      </w:r>
      <w:r w:rsidRPr="000B1DDC">
        <w:rPr>
          <w:i/>
          <w:vertAlign w:val="superscript"/>
          <w:lang w:val="en"/>
        </w:rPr>
        <w:t>5</w:t>
      </w:r>
      <w:r w:rsidRPr="000B1DDC">
        <w:rPr>
          <w:i/>
          <w:lang w:val="en"/>
        </w:rPr>
        <w:t xml:space="preserve"> </w:t>
      </w:r>
      <w:r w:rsidRPr="000B1DDC">
        <w:rPr>
          <w:i/>
        </w:rPr>
        <w:t xml:space="preserve">“You shall answer and say before the </w:t>
      </w:r>
      <w:r w:rsidRPr="000B1DDC">
        <w:rPr>
          <w:i/>
          <w:smallCaps/>
        </w:rPr>
        <w:t>Lord</w:t>
      </w:r>
      <w:r w:rsidRPr="000B1DDC">
        <w:rPr>
          <w:i/>
        </w:rPr>
        <w:t xml:space="preserve"> your God, ‘My father was a wandering Aramean, and he went down to Egypt and sojourned there, </w:t>
      </w:r>
      <w:proofErr w:type="gramStart"/>
      <w:r w:rsidRPr="000B1DDC">
        <w:rPr>
          <w:i/>
        </w:rPr>
        <w:t>few in number</w:t>
      </w:r>
      <w:proofErr w:type="gramEnd"/>
      <w:r w:rsidRPr="000B1DDC">
        <w:rPr>
          <w:i/>
        </w:rPr>
        <w:t xml:space="preserve">; but there he became a great, mighty and populous nation. </w:t>
      </w:r>
      <w:r w:rsidRPr="000B1DDC">
        <w:rPr>
          <w:i/>
          <w:vertAlign w:val="superscript"/>
          <w:lang w:val="en"/>
        </w:rPr>
        <w:t>6</w:t>
      </w:r>
      <w:r w:rsidRPr="000B1DDC">
        <w:rPr>
          <w:i/>
          <w:lang w:val="en"/>
        </w:rPr>
        <w:t xml:space="preserve"> </w:t>
      </w:r>
      <w:r w:rsidRPr="000B1DDC">
        <w:rPr>
          <w:i/>
        </w:rPr>
        <w:t xml:space="preserve">‘And the Egyptians treated us harshly and afflicted </w:t>
      </w:r>
      <w:proofErr w:type="gramStart"/>
      <w:r w:rsidRPr="000B1DDC">
        <w:rPr>
          <w:i/>
        </w:rPr>
        <w:t>us, and</w:t>
      </w:r>
      <w:proofErr w:type="gramEnd"/>
      <w:r w:rsidRPr="000B1DDC">
        <w:rPr>
          <w:i/>
        </w:rPr>
        <w:t xml:space="preserve"> imposed hard labor on us. </w:t>
      </w:r>
      <w:r w:rsidRPr="000B1DDC">
        <w:rPr>
          <w:i/>
          <w:vertAlign w:val="superscript"/>
          <w:lang w:val="en"/>
        </w:rPr>
        <w:t>7</w:t>
      </w:r>
      <w:r w:rsidRPr="000B1DDC">
        <w:rPr>
          <w:i/>
          <w:lang w:val="en"/>
        </w:rPr>
        <w:t xml:space="preserve"> </w:t>
      </w:r>
      <w:r w:rsidRPr="000B1DDC">
        <w:rPr>
          <w:i/>
        </w:rPr>
        <w:t xml:space="preserve">‘Then we cried to the </w:t>
      </w:r>
      <w:r w:rsidRPr="000B1DDC">
        <w:rPr>
          <w:i/>
          <w:smallCaps/>
        </w:rPr>
        <w:t>Lord</w:t>
      </w:r>
      <w:r w:rsidRPr="000B1DDC">
        <w:rPr>
          <w:i/>
        </w:rPr>
        <w:t xml:space="preserve">, the God of our fathers, and the </w:t>
      </w:r>
      <w:r w:rsidRPr="000B1DDC">
        <w:rPr>
          <w:i/>
          <w:smallCaps/>
        </w:rPr>
        <w:t>Lord</w:t>
      </w:r>
      <w:r w:rsidRPr="000B1DDC">
        <w:rPr>
          <w:i/>
        </w:rPr>
        <w:t xml:space="preserve"> heard our voice and saw our affliction and our toil and our oppression; </w:t>
      </w:r>
      <w:r w:rsidRPr="000B1DDC">
        <w:rPr>
          <w:i/>
          <w:vertAlign w:val="superscript"/>
          <w:lang w:val="en"/>
        </w:rPr>
        <w:t>8</w:t>
      </w:r>
      <w:r w:rsidRPr="000B1DDC">
        <w:rPr>
          <w:i/>
          <w:lang w:val="en"/>
        </w:rPr>
        <w:t xml:space="preserve"> </w:t>
      </w:r>
      <w:r w:rsidRPr="000B1DDC">
        <w:rPr>
          <w:i/>
        </w:rPr>
        <w:t xml:space="preserve">and the </w:t>
      </w:r>
      <w:r w:rsidRPr="000B1DDC">
        <w:rPr>
          <w:i/>
          <w:smallCaps/>
        </w:rPr>
        <w:t>Lord</w:t>
      </w:r>
      <w:r w:rsidRPr="000B1DDC">
        <w:rPr>
          <w:i/>
        </w:rPr>
        <w:t xml:space="preserve"> brought us out of Egypt with a mighty hand and an outstretched arm and with great terror and with signs and wonders; </w:t>
      </w:r>
      <w:r w:rsidRPr="000B1DDC">
        <w:rPr>
          <w:i/>
          <w:vertAlign w:val="superscript"/>
          <w:lang w:val="en"/>
        </w:rPr>
        <w:t>9</w:t>
      </w:r>
      <w:r w:rsidRPr="000B1DDC">
        <w:rPr>
          <w:i/>
          <w:lang w:val="en"/>
        </w:rPr>
        <w:t xml:space="preserve"> </w:t>
      </w:r>
      <w:r w:rsidRPr="000B1DDC">
        <w:rPr>
          <w:i/>
        </w:rPr>
        <w:t xml:space="preserve">and He has brought us to this place and has given us this land, a land flowing with milk and honey. </w:t>
      </w:r>
      <w:r w:rsidRPr="000B1DDC">
        <w:rPr>
          <w:i/>
          <w:vertAlign w:val="superscript"/>
          <w:lang w:val="en"/>
        </w:rPr>
        <w:t>10</w:t>
      </w:r>
      <w:r w:rsidRPr="000B1DDC">
        <w:rPr>
          <w:i/>
          <w:lang w:val="en"/>
        </w:rPr>
        <w:t xml:space="preserve"> </w:t>
      </w:r>
      <w:r w:rsidRPr="000B1DDC">
        <w:rPr>
          <w:i/>
        </w:rPr>
        <w:t xml:space="preserve">‘Now behold, I have brought the first of the produce of the ground which You, O </w:t>
      </w:r>
      <w:r w:rsidRPr="000B1DDC">
        <w:rPr>
          <w:i/>
          <w:smallCaps/>
        </w:rPr>
        <w:t>Lord</w:t>
      </w:r>
      <w:r w:rsidRPr="000B1DDC">
        <w:rPr>
          <w:i/>
        </w:rPr>
        <w:t xml:space="preserve"> have given me.’ And you shall set it down before the </w:t>
      </w:r>
      <w:r w:rsidRPr="000B1DDC">
        <w:rPr>
          <w:i/>
          <w:smallCaps/>
        </w:rPr>
        <w:t>Lord</w:t>
      </w:r>
      <w:r w:rsidRPr="000B1DDC">
        <w:rPr>
          <w:i/>
        </w:rPr>
        <w:t xml:space="preserve"> your God, </w:t>
      </w:r>
      <w:r w:rsidRPr="000B1DDC">
        <w:rPr>
          <w:i/>
        </w:rPr>
        <w:lastRenderedPageBreak/>
        <w:t xml:space="preserve">and worship before the </w:t>
      </w:r>
      <w:r w:rsidRPr="000B1DDC">
        <w:rPr>
          <w:i/>
          <w:smallCaps/>
        </w:rPr>
        <w:t>Lord</w:t>
      </w:r>
      <w:r w:rsidRPr="000B1DDC">
        <w:rPr>
          <w:i/>
        </w:rPr>
        <w:t xml:space="preserve"> your God; </w:t>
      </w:r>
      <w:r w:rsidRPr="000B1DDC">
        <w:rPr>
          <w:i/>
          <w:vertAlign w:val="superscript"/>
          <w:lang w:val="en"/>
        </w:rPr>
        <w:t>11</w:t>
      </w:r>
      <w:r w:rsidRPr="000B1DDC">
        <w:rPr>
          <w:i/>
          <w:lang w:val="en"/>
        </w:rPr>
        <w:t xml:space="preserve"> </w:t>
      </w:r>
      <w:r w:rsidRPr="000B1DDC">
        <w:rPr>
          <w:i/>
        </w:rPr>
        <w:t xml:space="preserve">and you and the Levite and the alien who is among you shall rejoice in all the good which the </w:t>
      </w:r>
      <w:r w:rsidRPr="000B1DDC">
        <w:rPr>
          <w:i/>
          <w:smallCaps/>
        </w:rPr>
        <w:t>Lord</w:t>
      </w:r>
      <w:r w:rsidRPr="000B1DDC">
        <w:rPr>
          <w:i/>
        </w:rPr>
        <w:t xml:space="preserve"> your God has given you and your household.”</w:t>
      </w:r>
    </w:p>
    <w:p w14:paraId="038CBE60" w14:textId="047988D6" w:rsidR="006F370D" w:rsidRDefault="002F5C35" w:rsidP="00B54156">
      <w:pPr>
        <w:pStyle w:val="Normal-Manual"/>
        <w:numPr>
          <w:ilvl w:val="0"/>
          <w:numId w:val="3"/>
        </w:numPr>
      </w:pPr>
      <w:r>
        <w:t xml:space="preserve">This section progresses away from what has been previously spoken, to set specific commands that ought to be carried out after Israel has settled into the </w:t>
      </w:r>
      <w:r w:rsidR="000C2ADB">
        <w:t>P</w:t>
      </w:r>
      <w:r>
        <w:t xml:space="preserve">romised </w:t>
      </w:r>
      <w:r w:rsidR="000C2ADB">
        <w:t>L</w:t>
      </w:r>
      <w:r>
        <w:t xml:space="preserve">and. </w:t>
      </w:r>
      <w:r w:rsidR="0086267F">
        <w:t xml:space="preserve">In verse 1 </w:t>
      </w:r>
      <w:r>
        <w:t xml:space="preserve">God reminds the people that the land he is providing them is a gift, referring to it as an inheritance. God has not mandated the conquest </w:t>
      </w:r>
      <w:r w:rsidR="000C2ADB">
        <w:t xml:space="preserve">for it </w:t>
      </w:r>
      <w:r>
        <w:t xml:space="preserve">to fail, but for the people to succeed in taking the land that they may live in it. </w:t>
      </w:r>
    </w:p>
    <w:p w14:paraId="3499B1AC" w14:textId="2418250A" w:rsidR="00272723" w:rsidRDefault="001A5C48" w:rsidP="00272723">
      <w:pPr>
        <w:pStyle w:val="Normal-Manual"/>
        <w:numPr>
          <w:ilvl w:val="1"/>
          <w:numId w:val="3"/>
        </w:numPr>
      </w:pPr>
      <w:r>
        <w:t>“</w:t>
      </w:r>
      <w:r w:rsidR="00272723">
        <w:t>Israel’s entrance into the land was commanded (1:8; 4:1), performed by God himself (4:38; 8:7; 9:28; 31:21), and presented as an outcome of covenantal obedience (6:18; 8:1; 10:11; 11:8, 31), and it will be brought to completion in the near future (26:3).</w:t>
      </w:r>
      <w:r>
        <w:t>”</w:t>
      </w:r>
      <w:r w:rsidR="00272723">
        <w:rPr>
          <w:rStyle w:val="FootnoteReference"/>
        </w:rPr>
        <w:footnoteReference w:id="5"/>
      </w:r>
    </w:p>
    <w:p w14:paraId="77D81F41" w14:textId="45E8A9C9" w:rsidR="00D91AFD" w:rsidRDefault="00D91AFD" w:rsidP="00D91AFD">
      <w:pPr>
        <w:pStyle w:val="Normal-Manual"/>
        <w:numPr>
          <w:ilvl w:val="0"/>
          <w:numId w:val="3"/>
        </w:numPr>
      </w:pPr>
      <w:r>
        <w:t>Verse 2</w:t>
      </w:r>
      <w:r w:rsidR="00B54156">
        <w:t xml:space="preserve"> and 3</w:t>
      </w:r>
      <w:r>
        <w:t xml:space="preserve"> provide the </w:t>
      </w:r>
      <w:r w:rsidR="002A2C7A">
        <w:t>preparatory acts of</w:t>
      </w:r>
      <w:r w:rsidR="004220C3">
        <w:t xml:space="preserve"> </w:t>
      </w:r>
      <w:r w:rsidR="00B54156">
        <w:t>f</w:t>
      </w:r>
      <w:r w:rsidR="004220C3">
        <w:t>irstfruits. They will</w:t>
      </w:r>
      <w:r>
        <w:t xml:space="preserve"> gather the firstfruits</w:t>
      </w:r>
      <w:r w:rsidR="006F370D">
        <w:t xml:space="preserve"> </w:t>
      </w:r>
      <w:r w:rsidR="004220C3">
        <w:t>and then gather themselves together at the central location of worship so that they might</w:t>
      </w:r>
      <w:r w:rsidR="006F370D">
        <w:t xml:space="preserve"> bring </w:t>
      </w:r>
      <w:r w:rsidR="004220C3">
        <w:t>what has been gathered</w:t>
      </w:r>
      <w:r w:rsidR="006F370D">
        <w:t xml:space="preserve"> to the priest</w:t>
      </w:r>
      <w:r>
        <w:t xml:space="preserve">. </w:t>
      </w:r>
      <w:r w:rsidR="006F370D">
        <w:t xml:space="preserve">Elsewhere in the </w:t>
      </w:r>
      <w:r w:rsidR="004220C3">
        <w:t>Pentateuch</w:t>
      </w:r>
      <w:r w:rsidR="000C2ADB">
        <w:t>,</w:t>
      </w:r>
      <w:r w:rsidR="006F370D">
        <w:t xml:space="preserve"> God has already provided this command to </w:t>
      </w:r>
      <w:r w:rsidR="000C2ADB">
        <w:t>H</w:t>
      </w:r>
      <w:r w:rsidR="006F370D">
        <w:t>is people</w:t>
      </w:r>
      <w:r w:rsidR="00B54156">
        <w:t xml:space="preserve"> to perform this worship ceremony</w:t>
      </w:r>
      <w:r w:rsidR="004220C3">
        <w:t xml:space="preserve"> (</w:t>
      </w:r>
      <w:r w:rsidR="004220C3" w:rsidRPr="004220C3">
        <w:rPr>
          <w:rFonts w:cs="Times New Roman"/>
          <w:color w:val="auto"/>
        </w:rPr>
        <w:t>Exod. 23:19; 34:26; Lev. 23:10; Num. 28:26</w:t>
      </w:r>
      <w:r w:rsidR="004220C3">
        <w:rPr>
          <w:rFonts w:cs="Times New Roman"/>
          <w:color w:val="auto"/>
        </w:rPr>
        <w:t>).</w:t>
      </w:r>
      <w:r w:rsidR="006F370D">
        <w:t xml:space="preserve"> </w:t>
      </w:r>
    </w:p>
    <w:p w14:paraId="4E169766" w14:textId="2EFBBC43" w:rsidR="002A2C7A" w:rsidRDefault="002A2C7A" w:rsidP="002A2C7A">
      <w:pPr>
        <w:pStyle w:val="Normal-Manual"/>
        <w:numPr>
          <w:ilvl w:val="1"/>
          <w:numId w:val="3"/>
        </w:numPr>
      </w:pPr>
      <w:r>
        <w:rPr>
          <w:rFonts w:cs="Times New Roman"/>
          <w:color w:val="auto"/>
        </w:rPr>
        <w:t>“</w:t>
      </w:r>
      <w:r w:rsidRPr="006F370D">
        <w:rPr>
          <w:rFonts w:cs="Times New Roman"/>
          <w:color w:val="auto"/>
        </w:rPr>
        <w:t>The intention of the instruction is to provide for a regular act of worship, that is, not a single occasion as soon as the people arrive in the land (</w:t>
      </w:r>
      <w:r w:rsidRPr="006F370D">
        <w:rPr>
          <w:rFonts w:cs="Times New Roman"/>
          <w:i/>
          <w:color w:val="auto"/>
        </w:rPr>
        <w:t>pace</w:t>
      </w:r>
      <w:r w:rsidRPr="006F370D">
        <w:rPr>
          <w:rFonts w:cs="Times New Roman"/>
          <w:color w:val="auto"/>
        </w:rPr>
        <w:t xml:space="preserve"> Craigie 1976a: 319). This is clear from the phrase ‘the priest in office at the time</w:t>
      </w:r>
      <w:r>
        <w:rPr>
          <w:rFonts w:cs="Times New Roman"/>
          <w:color w:val="auto"/>
        </w:rPr>
        <w:t>.</w:t>
      </w:r>
      <w:r w:rsidRPr="006F370D">
        <w:rPr>
          <w:rFonts w:cs="Times New Roman"/>
          <w:color w:val="auto"/>
        </w:rPr>
        <w:t>’</w:t>
      </w:r>
      <w:r>
        <w:rPr>
          <w:rFonts w:cs="Times New Roman"/>
          <w:color w:val="auto"/>
        </w:rPr>
        <w:t>”</w:t>
      </w:r>
      <w:r w:rsidRPr="006F370D">
        <w:rPr>
          <w:rFonts w:cs="Times New Roman"/>
          <w:color w:val="auto"/>
          <w:vertAlign w:val="superscript"/>
        </w:rPr>
        <w:footnoteReference w:id="6"/>
      </w:r>
    </w:p>
    <w:p w14:paraId="5C4B5611" w14:textId="46D231BB" w:rsidR="00B54156" w:rsidRDefault="001A5C48" w:rsidP="00B54156">
      <w:pPr>
        <w:pStyle w:val="Normal-Manual"/>
        <w:numPr>
          <w:ilvl w:val="1"/>
          <w:numId w:val="3"/>
        </w:numPr>
      </w:pPr>
      <w:r>
        <w:rPr>
          <w:rFonts w:cs="Times New Roman"/>
          <w:color w:val="auto"/>
        </w:rPr>
        <w:t>“</w:t>
      </w:r>
      <w:r w:rsidR="00B54156" w:rsidRPr="00B54156">
        <w:rPr>
          <w:rFonts w:cs="Times New Roman"/>
          <w:color w:val="auto"/>
        </w:rPr>
        <w:t>Unlike Passover and the Feast of Unleavened Bread, the offering of firstfruits was a new religious institution in ancient Israel, for before taking possession of the land, they were not an agricultural people.</w:t>
      </w:r>
      <w:r w:rsidR="00B54156">
        <w:rPr>
          <w:rFonts w:cs="Times New Roman"/>
          <w:color w:val="auto"/>
        </w:rPr>
        <w:t>”</w:t>
      </w:r>
      <w:r w:rsidR="00B54156" w:rsidRPr="00B54156">
        <w:rPr>
          <w:rFonts w:cs="Times New Roman"/>
          <w:color w:val="auto"/>
          <w:vertAlign w:val="superscript"/>
        </w:rPr>
        <w:footnoteReference w:id="7"/>
      </w:r>
    </w:p>
    <w:p w14:paraId="3934096F" w14:textId="57B241A7" w:rsidR="00313E6A" w:rsidRDefault="00D91AFD" w:rsidP="00D91AFD">
      <w:pPr>
        <w:pStyle w:val="Normal-Manual"/>
        <w:numPr>
          <w:ilvl w:val="0"/>
          <w:numId w:val="3"/>
        </w:numPr>
      </w:pPr>
      <w:r>
        <w:t xml:space="preserve">By bringing the people together immediately after settling into the land, </w:t>
      </w:r>
      <w:r w:rsidR="002A2C7A">
        <w:t>God</w:t>
      </w:r>
      <w:r>
        <w:t xml:space="preserve"> not only provides the people an opportunity to worship </w:t>
      </w:r>
      <w:r w:rsidR="002A2C7A">
        <w:t>H</w:t>
      </w:r>
      <w:r>
        <w:t xml:space="preserve">im for what He has done (as will be expressed in the coming verses), but also protects them from the mistake of attributing it to the work of another deity (as </w:t>
      </w:r>
      <w:r w:rsidR="002A2C7A">
        <w:t>they did after</w:t>
      </w:r>
      <w:r>
        <w:t xml:space="preserve"> the </w:t>
      </w:r>
      <w:r w:rsidR="004220C3">
        <w:t>E</w:t>
      </w:r>
      <w:r>
        <w:t>xodus with the golden calf</w:t>
      </w:r>
      <w:r w:rsidR="002A2C7A">
        <w:t xml:space="preserve"> </w:t>
      </w:r>
      <w:r w:rsidR="004C7C90">
        <w:t>cf.</w:t>
      </w:r>
      <w:r w:rsidR="002A2C7A">
        <w:t xml:space="preserve"> Exodus 32</w:t>
      </w:r>
      <w:r>
        <w:t xml:space="preserve">). </w:t>
      </w:r>
    </w:p>
    <w:p w14:paraId="1C5AB4E1" w14:textId="0CFA3EB0" w:rsidR="00D91AFD" w:rsidRDefault="00D91AFD" w:rsidP="00D91AFD">
      <w:pPr>
        <w:pStyle w:val="Normal-Manual"/>
        <w:numPr>
          <w:ilvl w:val="0"/>
          <w:numId w:val="3"/>
        </w:numPr>
      </w:pPr>
      <w:r>
        <w:t>Fu</w:t>
      </w:r>
      <w:r w:rsidR="004220C3">
        <w:t>r</w:t>
      </w:r>
      <w:r>
        <w:t xml:space="preserve">ther specification for how the people </w:t>
      </w:r>
      <w:proofErr w:type="gramStart"/>
      <w:r>
        <w:t>are</w:t>
      </w:r>
      <w:proofErr w:type="gramEnd"/>
      <w:r>
        <w:t xml:space="preserve"> to worship after gathering is delineated in verses 3-</w:t>
      </w:r>
      <w:r w:rsidR="004220C3">
        <w:t>11</w:t>
      </w:r>
      <w:r>
        <w:t xml:space="preserve">. </w:t>
      </w:r>
      <w:r w:rsidR="004220C3">
        <w:t>The commands</w:t>
      </w:r>
      <w:r>
        <w:t xml:space="preserve"> are presented in the form of</w:t>
      </w:r>
      <w:r w:rsidR="00BE090B">
        <w:t xml:space="preserve"> making</w:t>
      </w:r>
      <w:r>
        <w:t xml:space="preserve"> </w:t>
      </w:r>
      <w:r w:rsidR="004220C3">
        <w:t>two declarations</w:t>
      </w:r>
      <w:r>
        <w:t>. The people are first to speak to the “priest who is in office</w:t>
      </w:r>
      <w:r w:rsidR="004220C3">
        <w:t xml:space="preserve"> at that time</w:t>
      </w:r>
      <w:r>
        <w:t xml:space="preserve">.” </w:t>
      </w:r>
      <w:r w:rsidR="004220C3">
        <w:t xml:space="preserve">This is therefore not a reference to any priest, but to </w:t>
      </w:r>
      <w:r w:rsidR="004220C3" w:rsidRPr="00667F65">
        <w:rPr>
          <w:noProof/>
        </w:rPr>
        <w:t>whoever</w:t>
      </w:r>
      <w:r w:rsidR="004220C3">
        <w:t xml:space="preserve"> is presently serving as the </w:t>
      </w:r>
      <w:r w:rsidR="000C2ADB">
        <w:t>H</w:t>
      </w:r>
      <w:r w:rsidR="004220C3">
        <w:t xml:space="preserve">igh </w:t>
      </w:r>
      <w:r w:rsidR="000C2ADB">
        <w:t>P</w:t>
      </w:r>
      <w:r w:rsidR="004220C3">
        <w:t xml:space="preserve">riest over Israel. </w:t>
      </w:r>
    </w:p>
    <w:p w14:paraId="5ED9CF23" w14:textId="63175556" w:rsidR="00D91AFD" w:rsidRDefault="00D91AFD" w:rsidP="00D91AFD">
      <w:pPr>
        <w:pStyle w:val="Normal-Manual"/>
        <w:numPr>
          <w:ilvl w:val="0"/>
          <w:numId w:val="3"/>
        </w:numPr>
      </w:pPr>
      <w:r>
        <w:t xml:space="preserve">The opening statement </w:t>
      </w:r>
      <w:r w:rsidR="00667F65">
        <w:t xml:space="preserve">of verse 3 </w:t>
      </w:r>
      <w:r>
        <w:t xml:space="preserve">is </w:t>
      </w:r>
      <w:r w:rsidR="00C875D6">
        <w:t xml:space="preserve">to be </w:t>
      </w:r>
      <w:r>
        <w:t xml:space="preserve">a confirmation </w:t>
      </w:r>
      <w:r w:rsidR="000C2ADB">
        <w:t xml:space="preserve">that </w:t>
      </w:r>
      <w:r>
        <w:t xml:space="preserve">God’s promise </w:t>
      </w:r>
      <w:r w:rsidR="00667F65">
        <w:rPr>
          <w:noProof/>
        </w:rPr>
        <w:t>has</w:t>
      </w:r>
      <w:r>
        <w:t xml:space="preserve"> come to pass</w:t>
      </w:r>
      <w:r w:rsidR="00667F65">
        <w:t xml:space="preserve">. </w:t>
      </w:r>
      <w:r>
        <w:t xml:space="preserve">The people are told to recognize that their reception of the land is the result of God’s faithfulness to the promises which </w:t>
      </w:r>
      <w:r w:rsidR="000C2ADB">
        <w:t>H</w:t>
      </w:r>
      <w:r>
        <w:t>e made previously</w:t>
      </w:r>
      <w:r w:rsidR="00C875D6">
        <w:t xml:space="preserve"> to Abraham, Isaac</w:t>
      </w:r>
      <w:r w:rsidR="00667F65">
        <w:t>,</w:t>
      </w:r>
      <w:r w:rsidR="00C875D6">
        <w:t xml:space="preserve"> </w:t>
      </w:r>
      <w:r w:rsidR="00C875D6" w:rsidRPr="00667F65">
        <w:rPr>
          <w:noProof/>
        </w:rPr>
        <w:t>and</w:t>
      </w:r>
      <w:r w:rsidR="00C875D6">
        <w:t xml:space="preserve"> Jacob. The people cannot claim their own fait</w:t>
      </w:r>
      <w:r w:rsidR="000C2ADB">
        <w:t>h</w:t>
      </w:r>
      <w:r w:rsidR="00C875D6">
        <w:t xml:space="preserve">fulness or righteousness as the premise upon which they now dwell in the land. </w:t>
      </w:r>
    </w:p>
    <w:p w14:paraId="07134D03" w14:textId="2FAFF924" w:rsidR="00366FEA" w:rsidRDefault="008273AB" w:rsidP="00366FEA">
      <w:pPr>
        <w:pStyle w:val="Normal-Manual"/>
        <w:numPr>
          <w:ilvl w:val="1"/>
          <w:numId w:val="3"/>
        </w:numPr>
      </w:pPr>
      <w:r>
        <w:rPr>
          <w:rFonts w:cs="Times New Roman"/>
          <w:color w:val="auto"/>
        </w:rPr>
        <w:t>“</w:t>
      </w:r>
      <w:r w:rsidR="00366FEA" w:rsidRPr="00366FEA">
        <w:rPr>
          <w:rFonts w:cs="Times New Roman"/>
          <w:color w:val="auto"/>
        </w:rPr>
        <w:t>The confession is further remarkable in that it focuses the response required of Israel on to the individual worshipper, who says, ‘</w:t>
      </w:r>
      <w:r w:rsidR="00366FEA" w:rsidRPr="00366FEA">
        <w:rPr>
          <w:rFonts w:cs="Times New Roman"/>
          <w:i/>
          <w:color w:val="auto"/>
        </w:rPr>
        <w:t>I</w:t>
      </w:r>
      <w:r w:rsidR="00366FEA" w:rsidRPr="00366FEA">
        <w:rPr>
          <w:rFonts w:cs="Times New Roman"/>
          <w:color w:val="auto"/>
        </w:rPr>
        <w:t xml:space="preserve"> have come …’ The ceremony pictured therefore realizes the response expected of all Israelites to the command of Yahweh concerning their life before him in the land. The required confession, that is, of what Israel </w:t>
      </w:r>
      <w:r w:rsidR="00366FEA" w:rsidRPr="00366FEA">
        <w:rPr>
          <w:rFonts w:cs="Times New Roman"/>
          <w:i/>
          <w:color w:val="auto"/>
        </w:rPr>
        <w:t>shall</w:t>
      </w:r>
      <w:r w:rsidR="00366FEA" w:rsidRPr="00366FEA">
        <w:rPr>
          <w:rFonts w:cs="Times New Roman"/>
          <w:color w:val="auto"/>
        </w:rPr>
        <w:t xml:space="preserve"> say, may be contrasted with what it expressly must </w:t>
      </w:r>
      <w:r w:rsidR="00366FEA" w:rsidRPr="00366FEA">
        <w:rPr>
          <w:rFonts w:cs="Times New Roman"/>
          <w:i/>
          <w:color w:val="auto"/>
        </w:rPr>
        <w:t>not</w:t>
      </w:r>
      <w:r w:rsidR="00366FEA" w:rsidRPr="00366FEA">
        <w:rPr>
          <w:rFonts w:cs="Times New Roman"/>
          <w:color w:val="auto"/>
        </w:rPr>
        <w:t xml:space="preserve"> say, namely, ‘It is </w:t>
      </w:r>
      <w:r w:rsidR="00366FEA" w:rsidRPr="00366FEA">
        <w:rPr>
          <w:rFonts w:cs="Times New Roman"/>
          <w:color w:val="auto"/>
        </w:rPr>
        <w:lastRenderedPageBreak/>
        <w:t xml:space="preserve">because of my innocence that the </w:t>
      </w:r>
      <w:r w:rsidR="00366FEA" w:rsidRPr="00366FEA">
        <w:rPr>
          <w:rFonts w:cs="Times New Roman"/>
          <w:smallCaps/>
          <w:color w:val="auto"/>
        </w:rPr>
        <w:t>Lord</w:t>
      </w:r>
      <w:r w:rsidR="00366FEA" w:rsidRPr="00366FEA">
        <w:rPr>
          <w:rFonts w:cs="Times New Roman"/>
          <w:color w:val="auto"/>
        </w:rPr>
        <w:t xml:space="preserve"> has brought me here to possess this land’ (9:4).</w:t>
      </w:r>
      <w:r>
        <w:rPr>
          <w:rFonts w:cs="Times New Roman"/>
          <w:color w:val="auto"/>
        </w:rPr>
        <w:t>”</w:t>
      </w:r>
      <w:r w:rsidR="00366FEA" w:rsidRPr="00366FEA">
        <w:rPr>
          <w:rFonts w:cs="Times New Roman"/>
          <w:color w:val="auto"/>
          <w:vertAlign w:val="superscript"/>
        </w:rPr>
        <w:footnoteReference w:id="8"/>
      </w:r>
    </w:p>
    <w:p w14:paraId="51DF2829" w14:textId="12820F1F" w:rsidR="00366FEA" w:rsidRDefault="008273AB" w:rsidP="00366FEA">
      <w:pPr>
        <w:pStyle w:val="Normal-Manual"/>
        <w:numPr>
          <w:ilvl w:val="1"/>
          <w:numId w:val="3"/>
        </w:numPr>
      </w:pPr>
      <w:r>
        <w:rPr>
          <w:rFonts w:cs="Times New Roman"/>
          <w:color w:val="auto"/>
        </w:rPr>
        <w:t>“</w:t>
      </w:r>
      <w:r w:rsidR="00366FEA" w:rsidRPr="00366FEA">
        <w:rPr>
          <w:rFonts w:cs="Times New Roman"/>
          <w:color w:val="auto"/>
        </w:rPr>
        <w:t xml:space="preserve">The close relationship between ‘land’ and ‘place’ of worship is heightened </w:t>
      </w:r>
      <w:proofErr w:type="gramStart"/>
      <w:r w:rsidR="00366FEA" w:rsidRPr="00366FEA">
        <w:rPr>
          <w:rFonts w:cs="Times New Roman"/>
          <w:color w:val="auto"/>
        </w:rPr>
        <w:t>by the use of</w:t>
      </w:r>
      <w:proofErr w:type="gramEnd"/>
      <w:r w:rsidR="00366FEA" w:rsidRPr="00366FEA">
        <w:rPr>
          <w:rFonts w:cs="Times New Roman"/>
          <w:color w:val="auto"/>
        </w:rPr>
        <w:t xml:space="preserve"> </w:t>
      </w:r>
      <w:proofErr w:type="spellStart"/>
      <w:r w:rsidR="00366FEA" w:rsidRPr="00366FEA">
        <w:rPr>
          <w:rFonts w:cs="Times New Roman"/>
          <w:i/>
          <w:color w:val="auto"/>
        </w:rPr>
        <w:t>māqôm</w:t>
      </w:r>
      <w:proofErr w:type="spellEnd"/>
      <w:r w:rsidR="00366FEA" w:rsidRPr="00366FEA">
        <w:rPr>
          <w:rFonts w:cs="Times New Roman"/>
          <w:color w:val="auto"/>
        </w:rPr>
        <w:t xml:space="preserve">, ‘place’, to mean ‘land’ in v. 9. This echoes the use of the word several times in </w:t>
      </w:r>
      <w:r w:rsidR="00366FEA" w:rsidRPr="00667F65">
        <w:rPr>
          <w:rFonts w:cs="Times New Roman"/>
          <w:noProof/>
          <w:color w:val="auto"/>
        </w:rPr>
        <w:t>chs</w:t>
      </w:r>
      <w:r w:rsidR="00366FEA" w:rsidRPr="00366FEA">
        <w:rPr>
          <w:rFonts w:cs="Times New Roman"/>
          <w:color w:val="auto"/>
        </w:rPr>
        <w:t xml:space="preserve">. 1–11 to mean the place at which Israel then stood (Moab; 1:31; 9:7; 11:5). The designation of the land (of Canaan) as the ‘place’ to which Yahweh has brought the people thus marks the progression from Moab into the </w:t>
      </w:r>
      <w:r w:rsidR="000C2ADB">
        <w:rPr>
          <w:rFonts w:cs="Times New Roman"/>
          <w:color w:val="auto"/>
        </w:rPr>
        <w:t>p</w:t>
      </w:r>
      <w:r w:rsidR="00366FEA" w:rsidRPr="00366FEA">
        <w:rPr>
          <w:rFonts w:cs="Times New Roman"/>
          <w:color w:val="auto"/>
        </w:rPr>
        <w:t xml:space="preserve">romised </w:t>
      </w:r>
      <w:r w:rsidR="000C2ADB">
        <w:rPr>
          <w:rFonts w:cs="Times New Roman"/>
          <w:color w:val="auto"/>
        </w:rPr>
        <w:t>l</w:t>
      </w:r>
      <w:r w:rsidR="00366FEA" w:rsidRPr="00366FEA">
        <w:rPr>
          <w:rFonts w:cs="Times New Roman"/>
          <w:color w:val="auto"/>
        </w:rPr>
        <w:t>and.</w:t>
      </w:r>
      <w:r>
        <w:rPr>
          <w:rFonts w:cs="Times New Roman"/>
          <w:color w:val="auto"/>
        </w:rPr>
        <w:t>”</w:t>
      </w:r>
      <w:r w:rsidR="00366FEA" w:rsidRPr="00366FEA">
        <w:rPr>
          <w:rFonts w:cs="Times New Roman"/>
          <w:color w:val="auto"/>
          <w:vertAlign w:val="superscript"/>
        </w:rPr>
        <w:footnoteReference w:id="9"/>
      </w:r>
    </w:p>
    <w:p w14:paraId="64EC62C8" w14:textId="1A000216" w:rsidR="00C875D6" w:rsidRPr="00DB6841" w:rsidRDefault="0086267F" w:rsidP="00D91AFD">
      <w:pPr>
        <w:pStyle w:val="Normal-Manual"/>
        <w:numPr>
          <w:ilvl w:val="0"/>
          <w:numId w:val="3"/>
        </w:numPr>
      </w:pPr>
      <w:r>
        <w:t>In verse 4 t</w:t>
      </w:r>
      <w:r w:rsidR="00C875D6">
        <w:t>hat which was gather</w:t>
      </w:r>
      <w:r w:rsidR="00366FEA">
        <w:t>ed</w:t>
      </w:r>
      <w:r w:rsidR="00C875D6">
        <w:t xml:space="preserve"> is then to be delivered to the priest and brought before the altar of the Lord as an offering. Rather than simply stating that the basket is brought before the altar, which could </w:t>
      </w:r>
      <w:r w:rsidR="00CF3BA8">
        <w:t xml:space="preserve">easily be abused by a wandering heart, the </w:t>
      </w:r>
      <w:r w:rsidR="00DB6841">
        <w:t>altar</w:t>
      </w:r>
      <w:r w:rsidR="00CF3BA8">
        <w:t xml:space="preserve"> is specified as</w:t>
      </w:r>
      <w:r w:rsidR="00CF3BA8" w:rsidRPr="00CF3BA8">
        <w:rPr>
          <w:sz w:val="22"/>
          <w:szCs w:val="22"/>
        </w:rPr>
        <w:t xml:space="preserve"> </w:t>
      </w:r>
      <w:r w:rsidR="00CF3BA8">
        <w:rPr>
          <w:sz w:val="22"/>
          <w:szCs w:val="22"/>
        </w:rPr>
        <w:t>“</w:t>
      </w:r>
      <w:r w:rsidR="00CF3BA8" w:rsidRPr="00DB0D5C">
        <w:rPr>
          <w:sz w:val="22"/>
          <w:szCs w:val="22"/>
        </w:rPr>
        <w:t xml:space="preserve">of the </w:t>
      </w:r>
      <w:r w:rsidR="00CF3BA8" w:rsidRPr="00DB0D5C">
        <w:rPr>
          <w:smallCaps/>
          <w:sz w:val="22"/>
          <w:szCs w:val="22"/>
        </w:rPr>
        <w:t>Lord</w:t>
      </w:r>
      <w:r w:rsidR="00CF3BA8" w:rsidRPr="00DB0D5C">
        <w:rPr>
          <w:sz w:val="22"/>
          <w:szCs w:val="22"/>
        </w:rPr>
        <w:t xml:space="preserve"> your God</w:t>
      </w:r>
      <w:r w:rsidR="00CF3BA8">
        <w:rPr>
          <w:sz w:val="22"/>
          <w:szCs w:val="22"/>
        </w:rPr>
        <w:t>.”</w:t>
      </w:r>
    </w:p>
    <w:p w14:paraId="5B96702A" w14:textId="40C28E53" w:rsidR="003A0E4D" w:rsidRDefault="0086267F" w:rsidP="00EB301E">
      <w:pPr>
        <w:pStyle w:val="Normal-Manual"/>
        <w:numPr>
          <w:ilvl w:val="0"/>
          <w:numId w:val="3"/>
        </w:numPr>
      </w:pPr>
      <w:r>
        <w:t xml:space="preserve">V. 5 begins the second affirmation. </w:t>
      </w:r>
      <w:r w:rsidR="00DB6841">
        <w:t xml:space="preserve">After addressing the priest, the people are to address God. </w:t>
      </w:r>
      <w:r w:rsidR="00BE090B">
        <w:t>“The worshiper’s second affirmation provides a more detailed review of Israel’s past experience.”</w:t>
      </w:r>
      <w:r w:rsidR="00BE090B">
        <w:rPr>
          <w:rStyle w:val="FootnoteReference"/>
        </w:rPr>
        <w:footnoteReference w:id="10"/>
      </w:r>
      <w:r w:rsidR="00BE090B">
        <w:t xml:space="preserve"> </w:t>
      </w:r>
      <w:r w:rsidR="00B60A9A">
        <w:t xml:space="preserve">They are to recount </w:t>
      </w:r>
      <w:r w:rsidR="00DB6841">
        <w:t>God’s mercy and power</w:t>
      </w:r>
      <w:r w:rsidR="00B60A9A">
        <w:t xml:space="preserve"> in bringing Israel out of slavery in Egypt. </w:t>
      </w:r>
      <w:r w:rsidR="003A0E4D">
        <w:t xml:space="preserve">This entire speech serves to bring God glory and put </w:t>
      </w:r>
      <w:r w:rsidR="000C2ADB">
        <w:t>H</w:t>
      </w:r>
      <w:r w:rsidR="003A0E4D">
        <w:t xml:space="preserve">is might on display. In every instance, the people </w:t>
      </w:r>
      <w:proofErr w:type="gramStart"/>
      <w:r w:rsidR="003A0E4D">
        <w:t>are seen as</w:t>
      </w:r>
      <w:proofErr w:type="gramEnd"/>
      <w:r w:rsidR="003A0E4D">
        <w:t xml:space="preserve"> the beneficiaries of God’s work, not as the ones who have accomplished anything. </w:t>
      </w:r>
    </w:p>
    <w:p w14:paraId="3FD641FF" w14:textId="36FECC96" w:rsidR="008273AB" w:rsidRDefault="003A0E4D" w:rsidP="007F6D7B">
      <w:pPr>
        <w:pStyle w:val="Normal-Manual"/>
        <w:numPr>
          <w:ilvl w:val="1"/>
          <w:numId w:val="3"/>
        </w:numPr>
      </w:pPr>
      <w:r>
        <w:t xml:space="preserve">“My father” refers to </w:t>
      </w:r>
      <w:r w:rsidR="00366FEA">
        <w:t>Jacob</w:t>
      </w:r>
      <w:r>
        <w:t xml:space="preserve"> and he is described as a “wandering Aramean.” </w:t>
      </w:r>
      <w:r w:rsidR="007478F1">
        <w:t xml:space="preserve">“The meaning of the Hebrew phrase </w:t>
      </w:r>
      <w:r w:rsidR="008273AB">
        <w:t>“</w:t>
      </w:r>
      <w:r w:rsidR="007F6D7B">
        <w:t>'</w:t>
      </w:r>
      <w:proofErr w:type="spellStart"/>
      <w:r w:rsidR="007F6D7B" w:rsidRPr="00667F65">
        <w:rPr>
          <w:noProof/>
        </w:rPr>
        <w:t>arammiy</w:t>
      </w:r>
      <w:proofErr w:type="spellEnd"/>
      <w:r w:rsidR="007F6D7B">
        <w:t xml:space="preserve"> '</w:t>
      </w:r>
      <w:r w:rsidR="007F6D7B" w:rsidRPr="00667F65">
        <w:rPr>
          <w:noProof/>
        </w:rPr>
        <w:t>oved</w:t>
      </w:r>
      <w:r w:rsidR="008273AB">
        <w:t>”</w:t>
      </w:r>
      <w:r w:rsidR="007478F1">
        <w:t xml:space="preserve"> is not certain…The translation “wandering Aramean” retains the alliterative quality of the original Hebrew expression and can be understood in poetic fashion to include all of the above options. Buber interprets the word “gone astray” as pastoral language (</w:t>
      </w:r>
      <w:r w:rsidR="007478F1">
        <w:rPr>
          <w:i/>
        </w:rPr>
        <w:t>On the Bible,</w:t>
      </w:r>
      <w:r w:rsidR="007478F1">
        <w:t xml:space="preserve"> 127), “used when a sheep has lost the flock to which it belongs (Jer. 50:6; Ezek. 34:4, 16; Psalm 119:176).”</w:t>
      </w:r>
      <w:r w:rsidR="007478F1">
        <w:rPr>
          <w:vertAlign w:val="superscript"/>
        </w:rPr>
        <w:footnoteReference w:id="11"/>
      </w:r>
      <w:r w:rsidR="007478F1">
        <w:t xml:space="preserve"> </w:t>
      </w:r>
    </w:p>
    <w:p w14:paraId="3559EF79" w14:textId="423010BA" w:rsidR="003A0E4D" w:rsidRDefault="007478F1" w:rsidP="003A0E4D">
      <w:pPr>
        <w:pStyle w:val="Normal-Manual"/>
        <w:numPr>
          <w:ilvl w:val="0"/>
          <w:numId w:val="3"/>
        </w:numPr>
      </w:pPr>
      <w:r>
        <w:t xml:space="preserve">The </w:t>
      </w:r>
      <w:r w:rsidR="007F6D7B">
        <w:t>idea,</w:t>
      </w:r>
      <w:r>
        <w:t xml:space="preserve"> however, seems </w:t>
      </w:r>
      <w:proofErr w:type="gramStart"/>
      <w:r>
        <w:t>pretty straightforward</w:t>
      </w:r>
      <w:proofErr w:type="gramEnd"/>
      <w:r>
        <w:t>. The</w:t>
      </w:r>
      <w:r w:rsidR="003A0E4D">
        <w:t xml:space="preserve"> description here portrays </w:t>
      </w:r>
      <w:r>
        <w:t>Jacob</w:t>
      </w:r>
      <w:r w:rsidR="003A0E4D">
        <w:t xml:space="preserve"> as a nobody from </w:t>
      </w:r>
      <w:r>
        <w:t>nowhere</w:t>
      </w:r>
      <w:r w:rsidR="003A0E4D">
        <w:t xml:space="preserve">. God did not take a person of prominent position, but one </w:t>
      </w:r>
      <w:r w:rsidR="005B46AF">
        <w:t>of</w:t>
      </w:r>
      <w:r w:rsidR="003A0E4D">
        <w:t xml:space="preserve"> lowly status (This point was made at length in ch</w:t>
      </w:r>
      <w:r w:rsidR="004C7C90">
        <w:t>a</w:t>
      </w:r>
      <w:r w:rsidR="003A0E4D">
        <w:t>p</w:t>
      </w:r>
      <w:r w:rsidR="004C7C90">
        <w:t>ter</w:t>
      </w:r>
      <w:r w:rsidR="003A0E4D">
        <w:t xml:space="preserve"> 8). </w:t>
      </w:r>
      <w:r>
        <w:t xml:space="preserve">The contrast between the wandering beginnings and now confession of the possession of the </w:t>
      </w:r>
      <w:r w:rsidR="005B46AF">
        <w:t>P</w:t>
      </w:r>
      <w:r>
        <w:t xml:space="preserve">romise </w:t>
      </w:r>
      <w:r w:rsidR="005B46AF">
        <w:t>L</w:t>
      </w:r>
      <w:r>
        <w:t xml:space="preserve">and provides a </w:t>
      </w:r>
      <w:r w:rsidR="004C7C90">
        <w:t>stark</w:t>
      </w:r>
      <w:r>
        <w:t xml:space="preserve"> contrast. </w:t>
      </w:r>
    </w:p>
    <w:p w14:paraId="5644C43B" w14:textId="2ABA5313" w:rsidR="003A0E4D" w:rsidRDefault="003A0E4D" w:rsidP="003A0E4D">
      <w:pPr>
        <w:pStyle w:val="Normal-Manual"/>
        <w:numPr>
          <w:ilvl w:val="0"/>
          <w:numId w:val="3"/>
        </w:numPr>
      </w:pPr>
      <w:r>
        <w:t xml:space="preserve">The transformation of the nation from small to great also highlights God’s power. Israel and </w:t>
      </w:r>
      <w:r w:rsidR="005B46AF">
        <w:t>h</w:t>
      </w:r>
      <w:r>
        <w:t xml:space="preserve">is small family </w:t>
      </w:r>
      <w:r w:rsidR="007478F1">
        <w:t>of 70 (Gen 49:8-27)</w:t>
      </w:r>
      <w:r>
        <w:t xml:space="preserve"> had to move to </w:t>
      </w:r>
      <w:r w:rsidR="007478F1">
        <w:t>Egypt</w:t>
      </w:r>
      <w:r>
        <w:t xml:space="preserve"> to escape starvation </w:t>
      </w:r>
      <w:proofErr w:type="gramStart"/>
      <w:r>
        <w:t>in the midst of</w:t>
      </w:r>
      <w:proofErr w:type="gramEnd"/>
      <w:r>
        <w:t xml:space="preserve"> famine. Nevertheless, though they came to </w:t>
      </w:r>
      <w:r w:rsidR="007478F1">
        <w:t>Egypt</w:t>
      </w:r>
      <w:r w:rsidR="005B46AF">
        <w:t>,</w:t>
      </w:r>
      <w:r>
        <w:t xml:space="preserve"> “few in number</w:t>
      </w:r>
      <w:r w:rsidR="005B46AF">
        <w:t>,</w:t>
      </w:r>
      <w:r>
        <w:t>” God multiples them their according to His promises</w:t>
      </w:r>
      <w:r w:rsidR="004C7C90">
        <w:t xml:space="preserve"> (Gen 15:5).</w:t>
      </w:r>
    </w:p>
    <w:p w14:paraId="5EC13D12" w14:textId="77777777" w:rsidR="00B30EF9" w:rsidRDefault="0086267F" w:rsidP="0053512B">
      <w:pPr>
        <w:pStyle w:val="Normal-Manual"/>
        <w:numPr>
          <w:ilvl w:val="0"/>
          <w:numId w:val="3"/>
        </w:numPr>
      </w:pPr>
      <w:r>
        <w:t>V. 6 shows that t</w:t>
      </w:r>
      <w:r w:rsidR="0027285A">
        <w:t xml:space="preserve">hings in Egypt </w:t>
      </w:r>
      <w:r>
        <w:t>took Israel from a state of bad to worse</w:t>
      </w:r>
      <w:r w:rsidR="0027285A">
        <w:t xml:space="preserve">. </w:t>
      </w:r>
      <w:r w:rsidR="00D47ADD">
        <w:t>The threefold description “</w:t>
      </w:r>
      <w:r w:rsidR="00D47ADD" w:rsidRPr="00D47ADD">
        <w:rPr>
          <w:rFonts w:cs="Times New Roman"/>
          <w:color w:val="auto"/>
        </w:rPr>
        <w:t xml:space="preserve">treated us harshly and afflicted </w:t>
      </w:r>
      <w:proofErr w:type="gramStart"/>
      <w:r w:rsidR="00D47ADD" w:rsidRPr="00D47ADD">
        <w:rPr>
          <w:rFonts w:cs="Times New Roman"/>
          <w:color w:val="auto"/>
        </w:rPr>
        <w:t>us, and</w:t>
      </w:r>
      <w:proofErr w:type="gramEnd"/>
      <w:r w:rsidR="00D47ADD" w:rsidRPr="00D47ADD">
        <w:rPr>
          <w:rFonts w:cs="Times New Roman"/>
          <w:color w:val="auto"/>
        </w:rPr>
        <w:t xml:space="preserve"> imposed hard labor on u</w:t>
      </w:r>
      <w:r w:rsidR="00D47ADD">
        <w:rPr>
          <w:rFonts w:cs="Times New Roman"/>
          <w:color w:val="auto"/>
        </w:rPr>
        <w:t xml:space="preserve">s” </w:t>
      </w:r>
      <w:r w:rsidR="00D47ADD">
        <w:t>“</w:t>
      </w:r>
      <w:r w:rsidR="00D47ADD">
        <w:t>emphasize</w:t>
      </w:r>
      <w:r w:rsidR="00D47ADD">
        <w:t>[s]</w:t>
      </w:r>
      <w:r w:rsidR="00D47ADD">
        <w:t xml:space="preserve"> the burdensome nature of Israel’s suffering in Egypt.</w:t>
      </w:r>
      <w:r w:rsidR="00D47ADD">
        <w:t>”</w:t>
      </w:r>
      <w:r w:rsidR="00D47ADD">
        <w:rPr>
          <w:rStyle w:val="FootnoteReference"/>
        </w:rPr>
        <w:footnoteReference w:id="12"/>
      </w:r>
      <w:r w:rsidR="0027285A">
        <w:t xml:space="preserve">Yet, </w:t>
      </w:r>
      <w:r w:rsidR="00D47ADD">
        <w:t xml:space="preserve">at the same time, </w:t>
      </w:r>
      <w:r w:rsidR="0027285A">
        <w:t xml:space="preserve">this </w:t>
      </w:r>
      <w:r w:rsidR="004C7C90">
        <w:t>creates</w:t>
      </w:r>
      <w:r w:rsidR="0027285A">
        <w:t xml:space="preserve"> the black backdrop upon which God unfolds his beautiful plan of redemption. </w:t>
      </w:r>
      <w:r w:rsidR="00B30EF9">
        <w:t>God</w:t>
      </w:r>
      <w:r w:rsidR="0027285A">
        <w:t xml:space="preserve"> will always keep </w:t>
      </w:r>
      <w:r w:rsidR="00B30EF9">
        <w:t>H</w:t>
      </w:r>
      <w:r w:rsidR="0027285A">
        <w:t>is promises and so</w:t>
      </w:r>
      <w:r w:rsidR="00B30EF9">
        <w:t xml:space="preserve"> as verse 7 recollects,</w:t>
      </w:r>
      <w:r w:rsidR="0027285A">
        <w:t xml:space="preserve"> the people cry out to Him, </w:t>
      </w:r>
      <w:r w:rsidR="00B30EF9">
        <w:t>H</w:t>
      </w:r>
      <w:r w:rsidR="0027285A">
        <w:t xml:space="preserve">e hears their cries and sees their affliction. In response, God redeems </w:t>
      </w:r>
      <w:r w:rsidR="007F6D7B">
        <w:t>H</w:t>
      </w:r>
      <w:r w:rsidR="0027285A">
        <w:t xml:space="preserve">is people. </w:t>
      </w:r>
    </w:p>
    <w:p w14:paraId="11814578" w14:textId="74FDC506" w:rsidR="00BE090B" w:rsidRDefault="0027285A" w:rsidP="0053512B">
      <w:pPr>
        <w:pStyle w:val="Normal-Manual"/>
        <w:numPr>
          <w:ilvl w:val="0"/>
          <w:numId w:val="3"/>
        </w:numPr>
      </w:pPr>
      <w:r>
        <w:lastRenderedPageBreak/>
        <w:t>The description of the Exodus</w:t>
      </w:r>
      <w:r w:rsidR="00B30EF9">
        <w:t xml:space="preserve"> in verse 8 highlights the way in which God accomplished the redemption of His nation</w:t>
      </w:r>
      <w:r>
        <w:t>.</w:t>
      </w:r>
      <w:r w:rsidR="004C7C90">
        <w:t xml:space="preserve"> </w:t>
      </w:r>
    </w:p>
    <w:p w14:paraId="4F8F1439" w14:textId="30A1C342" w:rsidR="00BE090B" w:rsidRDefault="00BE090B" w:rsidP="00BE090B">
      <w:pPr>
        <w:pStyle w:val="Normal-Manual"/>
        <w:numPr>
          <w:ilvl w:val="1"/>
          <w:numId w:val="3"/>
        </w:numPr>
      </w:pPr>
      <w:r w:rsidRPr="009C22D1">
        <w:t xml:space="preserve">“Yahweh delivered his people </w:t>
      </w:r>
      <w:r w:rsidR="009C22D1">
        <w:t>“</w:t>
      </w:r>
      <w:r w:rsidRPr="009C22D1">
        <w:t>with a mighty hand and an outstretched arm”</w:t>
      </w:r>
      <w:r>
        <w:t xml:space="preserve"> (cf. 4:34; 11:2; see comment on 5:15 and 7:17–19). The word pair</w:t>
      </w:r>
      <w:r w:rsidR="005B46AF">
        <w:t>,</w:t>
      </w:r>
      <w:r>
        <w:t xml:space="preserve"> “signs and wonders</w:t>
      </w:r>
      <w:r w:rsidR="005B46AF">
        <w:t>,</w:t>
      </w:r>
      <w:r>
        <w:t xml:space="preserve">” occurs in five other passages in Deuteronomy to describe Yahweh’s miraculous intervention (4:34; 6:22; 7:19; 29:2; 34:11; paralleled with </w:t>
      </w:r>
      <w:proofErr w:type="spellStart"/>
      <w:r>
        <w:t>môrāʾ</w:t>
      </w:r>
      <w:proofErr w:type="spellEnd"/>
      <w:r>
        <w:t>, “terror,” in 4:34 and 34:12.”</w:t>
      </w:r>
      <w:r>
        <w:rPr>
          <w:rStyle w:val="FootnoteReference"/>
        </w:rPr>
        <w:footnoteReference w:id="13"/>
      </w:r>
    </w:p>
    <w:p w14:paraId="783078FE" w14:textId="637A9DB2" w:rsidR="0027285A" w:rsidRPr="00BE090B" w:rsidRDefault="00BE090B" w:rsidP="003A0E4D">
      <w:pPr>
        <w:pStyle w:val="Normal-Manual"/>
        <w:numPr>
          <w:ilvl w:val="0"/>
          <w:numId w:val="3"/>
        </w:numPr>
        <w:rPr>
          <w:highlight w:val="yellow"/>
        </w:rPr>
      </w:pPr>
      <w:r>
        <w:t>By rehearsing God’s power in the Exodus</w:t>
      </w:r>
      <w:r w:rsidR="005B46AF">
        <w:t>,</w:t>
      </w:r>
      <w:r>
        <w:t xml:space="preserve"> the people would likely have remembered the </w:t>
      </w:r>
      <w:r w:rsidR="0086267F">
        <w:t xml:space="preserve">miracles </w:t>
      </w:r>
      <w:r w:rsidR="0027285A">
        <w:t>through which God rescues His people. Th</w:t>
      </w:r>
      <w:r>
        <w:t xml:space="preserve">erefore, as much as this is </w:t>
      </w:r>
      <w:r w:rsidR="0027285A">
        <w:t xml:space="preserve">certainly a reminder of God’s infinite power, </w:t>
      </w:r>
      <w:r>
        <w:t>it should also</w:t>
      </w:r>
      <w:r w:rsidR="0027285A">
        <w:t xml:space="preserve"> help </w:t>
      </w:r>
      <w:r w:rsidR="005B46AF">
        <w:t xml:space="preserve">prevent </w:t>
      </w:r>
      <w:r w:rsidR="0027285A">
        <w:t xml:space="preserve">the </w:t>
      </w:r>
      <w:r>
        <w:t>nation</w:t>
      </w:r>
      <w:r w:rsidR="005B46AF">
        <w:t>’</w:t>
      </w:r>
      <w:r>
        <w:t>s</w:t>
      </w:r>
      <w:r w:rsidR="0027285A">
        <w:t xml:space="preserve"> heart</w:t>
      </w:r>
      <w:r>
        <w:t xml:space="preserve"> </w:t>
      </w:r>
      <w:r w:rsidR="0027285A">
        <w:t xml:space="preserve">from turning back to Egypt and their </w:t>
      </w:r>
      <w:r w:rsidR="0086267F">
        <w:t>gods</w:t>
      </w:r>
      <w:r w:rsidR="0027285A">
        <w:t xml:space="preserve">, </w:t>
      </w:r>
      <w:r w:rsidR="0086267F">
        <w:t>YHWH has already</w:t>
      </w:r>
      <w:r w:rsidR="0027285A">
        <w:t xml:space="preserve"> demonstrated </w:t>
      </w:r>
      <w:r w:rsidR="0086267F">
        <w:t>H</w:t>
      </w:r>
      <w:r w:rsidR="0027285A">
        <w:t xml:space="preserve">is power over the </w:t>
      </w:r>
      <w:r w:rsidR="005B46AF">
        <w:t>Egyptian</w:t>
      </w:r>
      <w:r w:rsidR="0027285A">
        <w:t xml:space="preserve"> pantheon</w:t>
      </w:r>
      <w:r>
        <w:t xml:space="preserve"> </w:t>
      </w:r>
      <w:r w:rsidRPr="0086267F">
        <w:t>(</w:t>
      </w:r>
      <w:r w:rsidR="0086267F" w:rsidRPr="0086267F">
        <w:t>see comments on 4:20</w:t>
      </w:r>
      <w:r w:rsidRPr="0086267F">
        <w:t>)</w:t>
      </w:r>
      <w:r w:rsidR="0027285A" w:rsidRPr="0086267F">
        <w:t xml:space="preserve">. </w:t>
      </w:r>
    </w:p>
    <w:p w14:paraId="3D425E35" w14:textId="5449C056" w:rsidR="00B60A9A" w:rsidRDefault="00B30EF9" w:rsidP="00B60A9A">
      <w:pPr>
        <w:pStyle w:val="Normal-Manual"/>
        <w:numPr>
          <w:ilvl w:val="0"/>
          <w:numId w:val="3"/>
        </w:numPr>
      </w:pPr>
      <w:r>
        <w:t xml:space="preserve">V. 9 concludes the synthesis of the history of God’s redemption of His people, speaking of </w:t>
      </w:r>
      <w:r>
        <w:t xml:space="preserve">the land which God has given to Israel. </w:t>
      </w:r>
      <w:r w:rsidR="0027285A">
        <w:t xml:space="preserve">If God is to fulfill </w:t>
      </w:r>
      <w:r w:rsidR="005B46AF">
        <w:t>H</w:t>
      </w:r>
      <w:r w:rsidR="0027285A">
        <w:t xml:space="preserve">is promise </w:t>
      </w:r>
      <w:r w:rsidR="005B46AF">
        <w:t>to</w:t>
      </w:r>
      <w:r w:rsidR="0027285A">
        <w:t xml:space="preserve"> Abraham Isaac and Jacob, </w:t>
      </w:r>
      <w:r w:rsidR="005B46AF">
        <w:t>H</w:t>
      </w:r>
      <w:r w:rsidR="001E67E9">
        <w:t xml:space="preserve">e cannot simply bring the people out of </w:t>
      </w:r>
      <w:r w:rsidR="0027285A">
        <w:t>Egypt.</w:t>
      </w:r>
      <w:r w:rsidR="001E67E9">
        <w:t xml:space="preserve"> Rather, </w:t>
      </w:r>
      <w:r w:rsidR="005B46AF">
        <w:t>H</w:t>
      </w:r>
      <w:r w:rsidR="001E67E9">
        <w:t xml:space="preserve">e must bring them back into the Canaan. </w:t>
      </w:r>
      <w:r w:rsidR="00D56B43">
        <w:t xml:space="preserve">The final clause of verse 9 describes the land. God has not given the people a </w:t>
      </w:r>
      <w:r w:rsidR="005A0FBA">
        <w:t>mediocre</w:t>
      </w:r>
      <w:r w:rsidR="00D56B43">
        <w:t xml:space="preserve"> gift, but a land characterized by abundance. </w:t>
      </w:r>
      <w:r w:rsidR="004C7C90">
        <w:t>This will be a fulfillment of what He promised the nation upon hearing their cries in Egypt (cf</w:t>
      </w:r>
      <w:r w:rsidR="009C4EDB">
        <w:t>.</w:t>
      </w:r>
      <w:r w:rsidR="004C7C90">
        <w:t xml:space="preserve"> Ex 3:8, 17</w:t>
      </w:r>
      <w:r w:rsidR="00D56B43">
        <w:t>).</w:t>
      </w:r>
    </w:p>
    <w:p w14:paraId="0575D394" w14:textId="39A54BCA" w:rsidR="00BB02C0" w:rsidRDefault="001A5C48" w:rsidP="00BB02C0">
      <w:pPr>
        <w:pStyle w:val="Normal-Manual"/>
        <w:numPr>
          <w:ilvl w:val="1"/>
          <w:numId w:val="3"/>
        </w:numPr>
      </w:pPr>
      <w:r w:rsidRPr="009C22D1">
        <w:rPr>
          <w:rFonts w:cs="Times New Roman"/>
          <w:color w:val="auto"/>
        </w:rPr>
        <w:t>“</w:t>
      </w:r>
      <w:r w:rsidR="00BB02C0" w:rsidRPr="009C22D1">
        <w:rPr>
          <w:rFonts w:cs="Times New Roman"/>
          <w:color w:val="auto"/>
        </w:rPr>
        <w:t>Buber notes that no peasant farmer would describe the land of his desire in this way.</w:t>
      </w:r>
      <w:r w:rsidR="00BB02C0" w:rsidRPr="00BB02C0">
        <w:rPr>
          <w:rFonts w:cs="Times New Roman"/>
          <w:color w:val="auto"/>
        </w:rPr>
        <w:t xml:space="preserve"> When the peasant praises his land, he says: “A land of wheat and barley and vines and fig trees and pomegranates” (8:8).</w:t>
      </w:r>
      <w:r w:rsidR="009C22D1">
        <w:rPr>
          <w:rFonts w:cs="Times New Roman"/>
          <w:color w:val="auto"/>
        </w:rPr>
        <w:t xml:space="preserve"> The difference in these statements highlights the provision of God in the land apart from the Israelite’s labors. </w:t>
      </w:r>
      <w:r w:rsidR="00BB02C0" w:rsidRPr="00BB02C0">
        <w:rPr>
          <w:rFonts w:cs="Times New Roman"/>
          <w:color w:val="auto"/>
        </w:rPr>
        <w:t xml:space="preserve"> </w:t>
      </w:r>
      <w:r w:rsidR="009C22D1">
        <w:rPr>
          <w:rFonts w:cs="Times New Roman"/>
          <w:color w:val="auto"/>
        </w:rPr>
        <w:t>Buber notes</w:t>
      </w:r>
      <w:r w:rsidR="00BB02C0" w:rsidRPr="00BB02C0">
        <w:rPr>
          <w:rFonts w:cs="Times New Roman"/>
          <w:color w:val="auto"/>
        </w:rPr>
        <w:t xml:space="preserve">, “The saying refers to representative products that the land offers to the newcomer without the need </w:t>
      </w:r>
      <w:r w:rsidR="00BB02C0" w:rsidRPr="00667F65">
        <w:rPr>
          <w:rFonts w:cs="Times New Roman"/>
          <w:noProof/>
          <w:color w:val="auto"/>
        </w:rPr>
        <w:t>of</w:t>
      </w:r>
      <w:r w:rsidR="00BB02C0" w:rsidRPr="00BB02C0">
        <w:rPr>
          <w:rFonts w:cs="Times New Roman"/>
          <w:color w:val="auto"/>
        </w:rPr>
        <w:t xml:space="preserve"> any effort on his part: milk, into which the energy of the rich pastures, as it were of one tremendous oasis, is converted and honey for the refreshment of passers-by” (</w:t>
      </w:r>
      <w:r w:rsidR="00BB02C0" w:rsidRPr="00BB02C0">
        <w:rPr>
          <w:rFonts w:cs="Times New Roman"/>
          <w:i/>
          <w:color w:val="auto"/>
        </w:rPr>
        <w:t>On the Bible,</w:t>
      </w:r>
      <w:r w:rsidR="00BB02C0" w:rsidRPr="00BB02C0">
        <w:rPr>
          <w:rFonts w:cs="Times New Roman"/>
          <w:color w:val="auto"/>
        </w:rPr>
        <w:t xml:space="preserve"> 125–26).</w:t>
      </w:r>
      <w:r>
        <w:rPr>
          <w:rFonts w:cs="Times New Roman"/>
          <w:color w:val="auto"/>
        </w:rPr>
        <w:t>”</w:t>
      </w:r>
      <w:r w:rsidR="00BB02C0" w:rsidRPr="00BB02C0">
        <w:rPr>
          <w:rFonts w:cs="Times New Roman"/>
          <w:color w:val="auto"/>
          <w:vertAlign w:val="superscript"/>
        </w:rPr>
        <w:footnoteReference w:id="14"/>
      </w:r>
    </w:p>
    <w:p w14:paraId="009ADDA9" w14:textId="144B02EA" w:rsidR="00997C75" w:rsidRDefault="00B30EF9" w:rsidP="004C7C90">
      <w:pPr>
        <w:pStyle w:val="Normal-Manual"/>
        <w:numPr>
          <w:ilvl w:val="0"/>
          <w:numId w:val="3"/>
        </w:numPr>
      </w:pPr>
      <w:r>
        <w:t xml:space="preserve">V. 10 </w:t>
      </w:r>
      <w:r w:rsidR="00E848EE">
        <w:t>concludes</w:t>
      </w:r>
      <w:r>
        <w:t xml:space="preserve"> the recitation</w:t>
      </w:r>
      <w:r w:rsidR="00E848EE">
        <w:t xml:space="preserve"> by </w:t>
      </w:r>
      <w:r>
        <w:t>stating why the gathering has happened in the first place.</w:t>
      </w:r>
      <w:r w:rsidR="00E848EE">
        <w:t xml:space="preserve"> The recognition of God’s provision is made explicit. Since </w:t>
      </w:r>
      <w:r w:rsidR="005B46AF">
        <w:t>H</w:t>
      </w:r>
      <w:r w:rsidR="00E848EE">
        <w:t xml:space="preserve">e is the one who has given the people the land, </w:t>
      </w:r>
      <w:r w:rsidR="005B46AF">
        <w:t>H</w:t>
      </w:r>
      <w:r w:rsidR="00E848EE">
        <w:t xml:space="preserve">e is also the one who gives the people the </w:t>
      </w:r>
      <w:r w:rsidR="00E848EE" w:rsidRPr="00667F65">
        <w:rPr>
          <w:noProof/>
        </w:rPr>
        <w:t>produce</w:t>
      </w:r>
      <w:r w:rsidR="00E848EE">
        <w:t xml:space="preserve"> of the land.</w:t>
      </w:r>
      <w:r w:rsidR="004C7C90">
        <w:t xml:space="preserve"> </w:t>
      </w:r>
      <w:r w:rsidR="00B60A9A">
        <w:t>This confession</w:t>
      </w:r>
      <w:r w:rsidR="005B46AF">
        <w:t>,</w:t>
      </w:r>
      <w:r w:rsidR="00B60A9A">
        <w:t xml:space="preserve"> then</w:t>
      </w:r>
      <w:r>
        <w:t xml:space="preserve"> (vv. </w:t>
      </w:r>
      <w:r w:rsidR="005704E8">
        <w:t>3-10)</w:t>
      </w:r>
      <w:r w:rsidR="00B60A9A">
        <w:t>, serves as the basis for the celebration of first fruits, in which the people have come to joyfully offer up the first yield of what God has provided, in faith that God will now provide the rest of the harvest.</w:t>
      </w:r>
    </w:p>
    <w:p w14:paraId="2B595077" w14:textId="7D740EF2" w:rsidR="005A0FBA" w:rsidRDefault="00BB02C0" w:rsidP="005A0FBA">
      <w:pPr>
        <w:pStyle w:val="Normal-Manual"/>
        <w:numPr>
          <w:ilvl w:val="1"/>
          <w:numId w:val="3"/>
        </w:numPr>
      </w:pPr>
      <w:r>
        <w:rPr>
          <w:rFonts w:cs="Times New Roman"/>
          <w:color w:val="auto"/>
        </w:rPr>
        <w:t>“</w:t>
      </w:r>
      <w:r w:rsidR="005A0FBA" w:rsidRPr="005A0FBA">
        <w:rPr>
          <w:rFonts w:cs="Times New Roman"/>
          <w:color w:val="auto"/>
        </w:rPr>
        <w:t xml:space="preserve">The force of the confession, therefore, is that the worshipper, bringing </w:t>
      </w:r>
      <w:r w:rsidR="005A0FBA" w:rsidRPr="00667F65">
        <w:rPr>
          <w:rFonts w:cs="Times New Roman"/>
          <w:noProof/>
          <w:color w:val="auto"/>
        </w:rPr>
        <w:t>produce</w:t>
      </w:r>
      <w:r w:rsidR="005A0FBA" w:rsidRPr="005A0FBA">
        <w:rPr>
          <w:rFonts w:cs="Times New Roman"/>
          <w:color w:val="auto"/>
        </w:rPr>
        <w:t xml:space="preserve"> of the land, acknowledges that it is all due to Yahweh’s gift of land to Israel in the events that formed the people. The act of worship is essentially agricultural, but, as with the major feasts (16:1–17), it is understood in terms of Yahweh’s historical saving acts on the people’s behalf.</w:t>
      </w:r>
      <w:r>
        <w:rPr>
          <w:rFonts w:cs="Times New Roman"/>
          <w:color w:val="auto"/>
        </w:rPr>
        <w:t>”</w:t>
      </w:r>
      <w:r w:rsidR="005A0FBA" w:rsidRPr="005A0FBA">
        <w:rPr>
          <w:rFonts w:cs="Times New Roman"/>
          <w:color w:val="auto"/>
          <w:vertAlign w:val="superscript"/>
        </w:rPr>
        <w:footnoteReference w:id="15"/>
      </w:r>
    </w:p>
    <w:p w14:paraId="1883AD2A" w14:textId="6137DDF9" w:rsidR="00D56B43" w:rsidRPr="009C4EDB" w:rsidRDefault="00997C75" w:rsidP="00997C75">
      <w:pPr>
        <w:pStyle w:val="Normal-Manual"/>
        <w:numPr>
          <w:ilvl w:val="0"/>
          <w:numId w:val="3"/>
        </w:numPr>
      </w:pPr>
      <w:r>
        <w:t>At this point</w:t>
      </w:r>
      <w:r w:rsidR="009C4EDB">
        <w:t xml:space="preserve"> (verse 11)</w:t>
      </w:r>
      <w:r>
        <w:t>, there is an interesting shift in the text</w:t>
      </w:r>
      <w:r w:rsidR="005A0FBA">
        <w:t>, yet one that has been consistent in the instructions for feasts throughout the book (14:29; 16:11, 14)</w:t>
      </w:r>
      <w:r>
        <w:t xml:space="preserve">. </w:t>
      </w:r>
      <w:r w:rsidR="00E848EE">
        <w:t xml:space="preserve">This celebration is not to be done by only those who are </w:t>
      </w:r>
      <w:r w:rsidR="00E848EE" w:rsidRPr="00667F65">
        <w:rPr>
          <w:noProof/>
        </w:rPr>
        <w:t>landowners</w:t>
      </w:r>
      <w:r w:rsidR="00E848EE">
        <w:t xml:space="preserve"> in Israel. Everyone who is in the land is to partake of God’s blessing upon the nation. Each household who comes bearing the first fruits of the land is to share with the Levites and </w:t>
      </w:r>
      <w:r w:rsidR="005B46AF">
        <w:t>a</w:t>
      </w:r>
      <w:r w:rsidR="00E848EE">
        <w:t xml:space="preserve">liens, who do not own land. Therefore, all </w:t>
      </w:r>
      <w:r w:rsidR="00E848EE">
        <w:lastRenderedPageBreak/>
        <w:t>who reside in Israel are to rejoice together in God’s goodness to the nation.</w:t>
      </w:r>
      <w:r w:rsidR="004B26D3">
        <w:t xml:space="preserve"> </w:t>
      </w:r>
      <w:r w:rsidR="005A0FBA">
        <w:t>“</w:t>
      </w:r>
      <w:r w:rsidR="005A0FBA">
        <w:rPr>
          <w:rFonts w:cs="Times New Roman"/>
          <w:color w:val="auto"/>
        </w:rPr>
        <w:t>T</w:t>
      </w:r>
      <w:r w:rsidR="005A0FBA" w:rsidRPr="005A0FBA">
        <w:rPr>
          <w:rFonts w:cs="Times New Roman"/>
          <w:color w:val="auto"/>
        </w:rPr>
        <w:t xml:space="preserve">he particular focus on Levites and strangers is consistent with the concern for those who have no intrinsic right to land, and thus answers to the landlessness of </w:t>
      </w:r>
      <w:r w:rsidR="005A0FBA" w:rsidRPr="009C22D1">
        <w:rPr>
          <w:rFonts w:cs="Times New Roman"/>
          <w:color w:val="auto"/>
        </w:rPr>
        <w:t>Israel’s forebears</w:t>
      </w:r>
      <w:r w:rsidR="005A0FBA" w:rsidRPr="005A0FBA">
        <w:rPr>
          <w:rFonts w:cs="Times New Roman"/>
          <w:color w:val="auto"/>
        </w:rPr>
        <w:t xml:space="preserve"> (5).</w:t>
      </w:r>
      <w:r w:rsidR="00BB02C0">
        <w:rPr>
          <w:rFonts w:cs="Times New Roman"/>
          <w:color w:val="auto"/>
        </w:rPr>
        <w:t>”</w:t>
      </w:r>
      <w:r w:rsidR="005A0FBA" w:rsidRPr="005A0FBA">
        <w:rPr>
          <w:rFonts w:cs="Times New Roman"/>
          <w:color w:val="auto"/>
          <w:vertAlign w:val="superscript"/>
        </w:rPr>
        <w:footnoteReference w:id="16"/>
      </w:r>
    </w:p>
    <w:p w14:paraId="3C61CBF3" w14:textId="30F97288" w:rsidR="009C4EDB" w:rsidRDefault="001A5C48" w:rsidP="009C4EDB">
      <w:pPr>
        <w:pStyle w:val="Normal-Manual"/>
        <w:numPr>
          <w:ilvl w:val="1"/>
          <w:numId w:val="3"/>
        </w:numPr>
      </w:pPr>
      <w:r>
        <w:t>“</w:t>
      </w:r>
      <w:r w:rsidR="009C4EDB">
        <w:t>Because the Levites and aliens (non-Israelites living among God’s people; see Note on 1:16) lack an allotment in the land (12:12; 14:27, 29), they will join with the worshiper in rejoicing (16:11) in God’s abundant provision (for all three groups through various means).</w:t>
      </w:r>
      <w:r>
        <w:t>”</w:t>
      </w:r>
      <w:r w:rsidR="009C4EDB">
        <w:rPr>
          <w:rStyle w:val="FootnoteReference"/>
        </w:rPr>
        <w:footnoteReference w:id="17"/>
      </w:r>
    </w:p>
    <w:p w14:paraId="3A6C15B2" w14:textId="6CA502AE" w:rsidR="00BB02C0" w:rsidRDefault="00BB02C0" w:rsidP="007F6D7B">
      <w:pPr>
        <w:pStyle w:val="Normal-Manual"/>
        <w:numPr>
          <w:ilvl w:val="1"/>
          <w:numId w:val="3"/>
        </w:numPr>
      </w:pPr>
      <w:r>
        <w:rPr>
          <w:rFonts w:cs="Times New Roman"/>
          <w:color w:val="auto"/>
        </w:rPr>
        <w:t>In summary, “</w:t>
      </w:r>
      <w:r w:rsidRPr="00BB02C0">
        <w:rPr>
          <w:rFonts w:cs="Times New Roman"/>
          <w:color w:val="auto"/>
        </w:rPr>
        <w:t xml:space="preserve">The basket of firstfruits was a token payment of the tithe, which was presented when the harvest was completed. The </w:t>
      </w:r>
      <w:r w:rsidRPr="00667F65">
        <w:rPr>
          <w:rFonts w:cs="Times New Roman"/>
          <w:noProof/>
          <w:color w:val="auto"/>
        </w:rPr>
        <w:t>firstfruits</w:t>
      </w:r>
      <w:r w:rsidRPr="00BB02C0">
        <w:rPr>
          <w:rFonts w:cs="Times New Roman"/>
          <w:color w:val="auto"/>
        </w:rPr>
        <w:t xml:space="preserve"> of summer and fall produce were presented in like manner at the Festival of Booths (Sukkoth) in the fall. The presentation of firstfruits was a thanksgiving offering that the worshiper brought to the central sanctuary to </w:t>
      </w:r>
      <w:r w:rsidR="00216454">
        <w:rPr>
          <w:rFonts w:cs="Times New Roman"/>
          <w:color w:val="auto"/>
        </w:rPr>
        <w:t>‘</w:t>
      </w:r>
      <w:r w:rsidRPr="00BB02C0">
        <w:rPr>
          <w:rFonts w:cs="Times New Roman"/>
          <w:color w:val="auto"/>
        </w:rPr>
        <w:t>celebrate all the bounty that YHWH your God has give</w:t>
      </w:r>
      <w:r w:rsidR="00216454">
        <w:rPr>
          <w:rFonts w:cs="Times New Roman"/>
          <w:color w:val="auto"/>
        </w:rPr>
        <w:t>n to you</w:t>
      </w:r>
      <w:r>
        <w:rPr>
          <w:rFonts w:cs="Times New Roman"/>
          <w:color w:val="auto"/>
        </w:rPr>
        <w:t>…</w:t>
      </w:r>
      <w:r w:rsidR="00216454">
        <w:rPr>
          <w:rFonts w:cs="Times New Roman"/>
          <w:color w:val="auto"/>
        </w:rPr>
        <w:t>’</w:t>
      </w:r>
      <w:r w:rsidRPr="00BB02C0">
        <w:t xml:space="preserve"> </w:t>
      </w:r>
      <w:r>
        <w:t xml:space="preserve">which included the worshiper’s entire household, along with </w:t>
      </w:r>
      <w:r w:rsidR="00216454">
        <w:t>‘</w:t>
      </w:r>
      <w:r>
        <w:t>the Levite and the sojourner</w:t>
      </w:r>
      <w:r w:rsidR="00216454">
        <w:t>.’”</w:t>
      </w:r>
    </w:p>
    <w:p w14:paraId="4FEEB138" w14:textId="5DBFDDCC" w:rsidR="00005F55" w:rsidRDefault="00005F55" w:rsidP="00005F55">
      <w:pPr>
        <w:pStyle w:val="Normal-Manual"/>
        <w:tabs>
          <w:tab w:val="clear" w:pos="360"/>
        </w:tabs>
        <w:ind w:left="360"/>
      </w:pPr>
    </w:p>
    <w:p w14:paraId="4129AA63" w14:textId="234929E7" w:rsidR="00005F55" w:rsidRDefault="004B26D3" w:rsidP="00005F55">
      <w:pPr>
        <w:pStyle w:val="Normal-Manual"/>
        <w:tabs>
          <w:tab w:val="clear" w:pos="360"/>
        </w:tabs>
        <w:ind w:left="360"/>
      </w:pPr>
      <w:r w:rsidRPr="009C22D1">
        <w:t>2</w:t>
      </w:r>
      <w:r w:rsidR="00005F55" w:rsidRPr="009C22D1">
        <w:t xml:space="preserve">. </w:t>
      </w:r>
      <w:r w:rsidR="00005F55" w:rsidRPr="009C22D1">
        <w:rPr>
          <w:b/>
          <w:bCs/>
          <w:noProof/>
          <w:u w:val="single"/>
        </w:rPr>
        <w:t>Tithes,</w:t>
      </w:r>
      <w:r w:rsidR="009C22D1" w:rsidRPr="009C22D1">
        <w:rPr>
          <w:b/>
          <w:bCs/>
          <w:u w:val="single"/>
        </w:rPr>
        <w:t xml:space="preserve"> vv. </w:t>
      </w:r>
      <w:r w:rsidR="00005F55" w:rsidRPr="009C22D1">
        <w:rPr>
          <w:b/>
          <w:bCs/>
          <w:u w:val="single"/>
        </w:rPr>
        <w:t>12-15</w:t>
      </w:r>
      <w:r w:rsidR="00005F55" w:rsidRPr="009C22D1">
        <w:t>:</w:t>
      </w:r>
      <w:r w:rsidR="00005F55">
        <w:t xml:space="preserve"> </w:t>
      </w:r>
    </w:p>
    <w:p w14:paraId="38463FDA" w14:textId="2AD0573D" w:rsidR="00AD1CF9" w:rsidRPr="000B1DDC" w:rsidRDefault="008273AB" w:rsidP="008273AB">
      <w:pPr>
        <w:pStyle w:val="NormalWeb"/>
        <w:rPr>
          <w:i/>
        </w:rPr>
      </w:pPr>
      <w:r w:rsidRPr="000B1DDC">
        <w:rPr>
          <w:i/>
          <w:vertAlign w:val="superscript"/>
          <w:lang w:val="en"/>
        </w:rPr>
        <w:t>12</w:t>
      </w:r>
      <w:r w:rsidRPr="000B1DDC">
        <w:rPr>
          <w:i/>
          <w:lang w:val="en"/>
        </w:rPr>
        <w:t xml:space="preserve"> </w:t>
      </w:r>
      <w:r w:rsidRPr="000B1DDC">
        <w:rPr>
          <w:i/>
        </w:rPr>
        <w:t xml:space="preserve">“When you have finished paying all the tithe of your increase in the third year, the year of tithing, then you shall give it to the Levite, to the stranger, to the orphan and to the widow, that they may eat in your towns and be satisfied. </w:t>
      </w:r>
      <w:r w:rsidRPr="000B1DDC">
        <w:rPr>
          <w:i/>
          <w:vertAlign w:val="superscript"/>
          <w:lang w:val="en"/>
        </w:rPr>
        <w:t>13</w:t>
      </w:r>
      <w:r w:rsidRPr="000B1DDC">
        <w:rPr>
          <w:i/>
          <w:lang w:val="en"/>
        </w:rPr>
        <w:t xml:space="preserve"> </w:t>
      </w:r>
      <w:r w:rsidRPr="000B1DDC">
        <w:rPr>
          <w:i/>
        </w:rPr>
        <w:t xml:space="preserve">“You shall say before the </w:t>
      </w:r>
      <w:r w:rsidRPr="000B1DDC">
        <w:rPr>
          <w:i/>
          <w:smallCaps/>
        </w:rPr>
        <w:t>Lord</w:t>
      </w:r>
      <w:r w:rsidRPr="000B1DDC">
        <w:rPr>
          <w:i/>
        </w:rPr>
        <w:t xml:space="preserve"> your God, ‘I have removed the sacred </w:t>
      </w:r>
      <w:r w:rsidRPr="000B1DDC">
        <w:rPr>
          <w:i/>
          <w:iCs/>
        </w:rPr>
        <w:t>portion</w:t>
      </w:r>
      <w:r w:rsidRPr="000B1DDC">
        <w:rPr>
          <w:i/>
        </w:rPr>
        <w:t xml:space="preserve"> from </w:t>
      </w:r>
      <w:r w:rsidRPr="000B1DDC">
        <w:rPr>
          <w:i/>
          <w:iCs/>
        </w:rPr>
        <w:t>my</w:t>
      </w:r>
      <w:r w:rsidRPr="000B1DDC">
        <w:rPr>
          <w:i/>
        </w:rPr>
        <w:t xml:space="preserve"> house, and also have given it to the Levite and the alien, the orphan and the widow, according to all Your commandments which You have commanded me; I have not transgressed or forgotten any of Your commandments. </w:t>
      </w:r>
      <w:r w:rsidRPr="000B1DDC">
        <w:rPr>
          <w:i/>
          <w:vertAlign w:val="superscript"/>
          <w:lang w:val="en"/>
        </w:rPr>
        <w:t>14</w:t>
      </w:r>
      <w:r w:rsidRPr="000B1DDC">
        <w:rPr>
          <w:i/>
          <w:lang w:val="en"/>
        </w:rPr>
        <w:t xml:space="preserve"> </w:t>
      </w:r>
      <w:r w:rsidRPr="000B1DDC">
        <w:rPr>
          <w:i/>
        </w:rPr>
        <w:t xml:space="preserve">‘I have not eaten of it while mourning, nor have I removed any of it while I was unclean, nor offered any of it to the dead. I have listened to the voice of the </w:t>
      </w:r>
      <w:r w:rsidRPr="000B1DDC">
        <w:rPr>
          <w:i/>
          <w:smallCaps/>
        </w:rPr>
        <w:t>Lord</w:t>
      </w:r>
      <w:r w:rsidRPr="000B1DDC">
        <w:rPr>
          <w:i/>
        </w:rPr>
        <w:t xml:space="preserve"> my God; I have done according to all that You have commanded me. </w:t>
      </w:r>
      <w:r w:rsidRPr="000B1DDC">
        <w:rPr>
          <w:i/>
          <w:vertAlign w:val="superscript"/>
          <w:lang w:val="en"/>
        </w:rPr>
        <w:t>15</w:t>
      </w:r>
      <w:r w:rsidRPr="000B1DDC">
        <w:rPr>
          <w:i/>
          <w:lang w:val="en"/>
        </w:rPr>
        <w:t xml:space="preserve"> </w:t>
      </w:r>
      <w:r w:rsidRPr="000B1DDC">
        <w:rPr>
          <w:i/>
        </w:rPr>
        <w:t>‘Look down from Your holy habitation, from heaven, and bless Your people Israel, and the ground which You have given us, a land flowing with milk and honey, as You swore to our fathers.’”</w:t>
      </w:r>
    </w:p>
    <w:p w14:paraId="6ECC1470" w14:textId="5D084921" w:rsidR="005A0FBA" w:rsidRDefault="005704E8" w:rsidP="00AD1CF9">
      <w:pPr>
        <w:pStyle w:val="Normal-Manual"/>
        <w:numPr>
          <w:ilvl w:val="0"/>
          <w:numId w:val="3"/>
        </w:numPr>
      </w:pPr>
      <w:r>
        <w:t xml:space="preserve">In verse 12 </w:t>
      </w:r>
      <w:r w:rsidR="00AD1CF9">
        <w:t xml:space="preserve">Moses now transitions into teaching about </w:t>
      </w:r>
      <w:r w:rsidR="00C51523">
        <w:t>the third-year tithe</w:t>
      </w:r>
      <w:r w:rsidR="00AD1CF9">
        <w:t xml:space="preserve"> which must be </w:t>
      </w:r>
      <w:r w:rsidR="007B4316">
        <w:t>performed</w:t>
      </w:r>
      <w:r w:rsidR="00AD1CF9">
        <w:t xml:space="preserve"> </w:t>
      </w:r>
      <w:r w:rsidR="007B4316">
        <w:t xml:space="preserve">every three years </w:t>
      </w:r>
      <w:r w:rsidR="00AD1CF9">
        <w:t xml:space="preserve">in the land. </w:t>
      </w:r>
      <w:r w:rsidR="005A0FBA">
        <w:t xml:space="preserve">This would have taken place at “a later time of year, after the various crops had been harvested, perhaps at the </w:t>
      </w:r>
      <w:r w:rsidR="00D45D26">
        <w:t>f</w:t>
      </w:r>
      <w:r w:rsidR="005A0FBA">
        <w:t xml:space="preserve">east of Booths. While the tithe was an annual offering (14:22), the interest in this passage is on the tithe of the third year, which was reserved </w:t>
      </w:r>
      <w:r w:rsidR="00667F65">
        <w:t>e</w:t>
      </w:r>
      <w:r w:rsidR="005A0FBA" w:rsidRPr="00667F65">
        <w:rPr>
          <w:noProof/>
        </w:rPr>
        <w:t>specially</w:t>
      </w:r>
      <w:r w:rsidR="005A0FBA">
        <w:t xml:space="preserve"> for the disadvantaged (12; cf. 14:28–29).”</w:t>
      </w:r>
      <w:r w:rsidR="005A0FBA">
        <w:rPr>
          <w:vertAlign w:val="superscript"/>
        </w:rPr>
        <w:footnoteReference w:id="18"/>
      </w:r>
      <w:r w:rsidR="005A0FBA">
        <w:t xml:space="preserve"> </w:t>
      </w:r>
    </w:p>
    <w:p w14:paraId="536D72F3" w14:textId="77777777" w:rsidR="009C4EDB" w:rsidRDefault="009C4EDB" w:rsidP="009C4EDB">
      <w:pPr>
        <w:pStyle w:val="Normal-Manual"/>
        <w:numPr>
          <w:ilvl w:val="1"/>
          <w:numId w:val="3"/>
        </w:numPr>
      </w:pPr>
      <w:r>
        <w:t>“Whereas the preceding section concerned the vertical dimension of Israel’s relationship with Yahweh, these verses address the horizontal dimension of Yahweh’s expectations of his covenantal nation.”</w:t>
      </w:r>
      <w:r>
        <w:rPr>
          <w:rStyle w:val="FootnoteReference"/>
        </w:rPr>
        <w:footnoteReference w:id="19"/>
      </w:r>
    </w:p>
    <w:p w14:paraId="0BDF4F61" w14:textId="1A6A3125" w:rsidR="00E92E87" w:rsidRPr="009C4EDB" w:rsidRDefault="00E92E87" w:rsidP="00E92E87">
      <w:pPr>
        <w:pStyle w:val="Normal-Manual"/>
        <w:numPr>
          <w:ilvl w:val="1"/>
          <w:numId w:val="3"/>
        </w:numPr>
      </w:pPr>
      <w:r>
        <w:rPr>
          <w:rFonts w:cs="Times New Roman"/>
          <w:color w:val="auto"/>
        </w:rPr>
        <w:t>“</w:t>
      </w:r>
      <w:r w:rsidRPr="00E92E87">
        <w:rPr>
          <w:rFonts w:cs="Times New Roman"/>
          <w:color w:val="auto"/>
        </w:rPr>
        <w:t xml:space="preserve">According to the law of the tithe in 14:22–27, “the tithe of your produce” was presented annually at the central sanctuary, where it was consumed by the worshiper and his household during the three pilgrimage festivals. At the end of every three years, the tithe was presented in the local towns to provide for needs of the “Levite,” the “alien,” the “orphan,” and the “widow” (see 14:28–29). The phrase “in the third year, the </w:t>
      </w:r>
      <w:r w:rsidRPr="00E92E87">
        <w:rPr>
          <w:rFonts w:cs="Times New Roman"/>
          <w:color w:val="auto"/>
        </w:rPr>
        <w:lastRenderedPageBreak/>
        <w:t>year of the tithe,” refers to the three-year cycle, which was repeated and then followed by the sabbatical year, when no tithe was given because no crops were planted.</w:t>
      </w:r>
      <w:r>
        <w:rPr>
          <w:rFonts w:cs="Times New Roman"/>
          <w:color w:val="auto"/>
        </w:rPr>
        <w:t>”</w:t>
      </w:r>
      <w:r w:rsidRPr="00E92E87">
        <w:rPr>
          <w:rFonts w:cs="Times New Roman"/>
          <w:color w:val="auto"/>
          <w:vertAlign w:val="superscript"/>
        </w:rPr>
        <w:footnoteReference w:id="20"/>
      </w:r>
    </w:p>
    <w:p w14:paraId="720742BB" w14:textId="4B79316A" w:rsidR="005A0FBA" w:rsidRDefault="005A0FBA" w:rsidP="005A0FBA">
      <w:pPr>
        <w:pStyle w:val="Normal-Manual"/>
        <w:numPr>
          <w:ilvl w:val="1"/>
          <w:numId w:val="3"/>
        </w:numPr>
      </w:pPr>
      <w:r>
        <w:rPr>
          <w:rFonts w:cs="Times New Roman"/>
          <w:color w:val="auto"/>
        </w:rPr>
        <w:t>“</w:t>
      </w:r>
      <w:r w:rsidRPr="005A0FBA">
        <w:rPr>
          <w:rFonts w:cs="Times New Roman"/>
          <w:color w:val="auto"/>
        </w:rPr>
        <w:t xml:space="preserve">It is worth noting that most of the offerings mentioned in the </w:t>
      </w:r>
      <w:r w:rsidRPr="00667F65">
        <w:rPr>
          <w:rFonts w:cs="Times New Roman"/>
          <w:noProof/>
          <w:color w:val="auto"/>
        </w:rPr>
        <w:t>deuteronomic</w:t>
      </w:r>
      <w:r w:rsidRPr="005A0FBA">
        <w:rPr>
          <w:rFonts w:cs="Times New Roman"/>
          <w:color w:val="auto"/>
        </w:rPr>
        <w:t xml:space="preserve"> law are not supplied with a confession like this one; the firstfruits and the tithe of the third year are the only ones</w:t>
      </w:r>
      <w:r>
        <w:rPr>
          <w:rFonts w:cs="Times New Roman"/>
          <w:color w:val="auto"/>
        </w:rPr>
        <w:t>..</w:t>
      </w:r>
      <w:r w:rsidRPr="005A0FBA">
        <w:rPr>
          <w:rFonts w:cs="Times New Roman"/>
          <w:color w:val="auto"/>
        </w:rPr>
        <w:t xml:space="preserve">. In the religious life that the law code reflects, the need for the present confession arose because the tithed materials were not being brought to the sanctuary, but rather </w:t>
      </w:r>
      <w:r w:rsidRPr="00667F65">
        <w:rPr>
          <w:rFonts w:cs="Times New Roman"/>
          <w:noProof/>
          <w:color w:val="auto"/>
        </w:rPr>
        <w:t>were</w:t>
      </w:r>
      <w:r w:rsidRPr="005A0FBA">
        <w:rPr>
          <w:rFonts w:cs="Times New Roman"/>
          <w:color w:val="auto"/>
        </w:rPr>
        <w:t xml:space="preserve"> being stored up in the cities of Israel (14:28). The confession is </w:t>
      </w:r>
      <w:r w:rsidRPr="00667F65">
        <w:rPr>
          <w:rFonts w:cs="Times New Roman"/>
          <w:noProof/>
          <w:color w:val="auto"/>
        </w:rPr>
        <w:t>therefore</w:t>
      </w:r>
      <w:r w:rsidRPr="005A0FBA">
        <w:rPr>
          <w:rFonts w:cs="Times New Roman"/>
          <w:color w:val="auto"/>
        </w:rPr>
        <w:t xml:space="preserve"> a solemn declaration that in a sense substitutes for the act of bringing the goods to the sanctuary.</w:t>
      </w:r>
      <w:r>
        <w:rPr>
          <w:rFonts w:cs="Times New Roman"/>
          <w:color w:val="auto"/>
        </w:rPr>
        <w:t>”</w:t>
      </w:r>
      <w:r w:rsidRPr="005A0FBA">
        <w:rPr>
          <w:rFonts w:cs="Times New Roman"/>
          <w:color w:val="auto"/>
          <w:vertAlign w:val="superscript"/>
        </w:rPr>
        <w:footnoteReference w:id="21"/>
      </w:r>
    </w:p>
    <w:p w14:paraId="0F5DF72A" w14:textId="3A3D589A" w:rsidR="000048B4" w:rsidRDefault="005704E8" w:rsidP="004C7C90">
      <w:pPr>
        <w:pStyle w:val="Normal-Manual"/>
        <w:numPr>
          <w:ilvl w:val="0"/>
          <w:numId w:val="3"/>
        </w:numPr>
      </w:pPr>
      <w:r>
        <w:t xml:space="preserve">There is a noticeable expansion here from only Levites and aliens in firstfruits to also include widows and orphans. This tithe is not only a </w:t>
      </w:r>
      <w:r w:rsidRPr="00667F65">
        <w:rPr>
          <w:noProof/>
        </w:rPr>
        <w:t>celebrat</w:t>
      </w:r>
      <w:r w:rsidR="00667F65">
        <w:rPr>
          <w:noProof/>
        </w:rPr>
        <w:t>ion</w:t>
      </w:r>
      <w:r>
        <w:t xml:space="preserve"> of God’s </w:t>
      </w:r>
      <w:r w:rsidRPr="000B69E4">
        <w:rPr>
          <w:noProof/>
        </w:rPr>
        <w:t>goodness</w:t>
      </w:r>
      <w:r>
        <w:t xml:space="preserve"> but also a means of taking care of the poor in the land. </w:t>
      </w:r>
      <w:r>
        <w:t xml:space="preserve">The ones who are not able to reap the produce of the land must </w:t>
      </w:r>
      <w:r>
        <w:t>always</w:t>
      </w:r>
      <w:r>
        <w:t xml:space="preserve"> be taken care of.</w:t>
      </w:r>
      <w:r>
        <w:t xml:space="preserve"> </w:t>
      </w:r>
      <w:r w:rsidR="00F25DB3">
        <w:t>Clearly, the repetition of these details shows both God’s care for those who are less privilege</w:t>
      </w:r>
      <w:r>
        <w:t>d</w:t>
      </w:r>
      <w:r w:rsidR="00F25DB3">
        <w:t xml:space="preserve"> </w:t>
      </w:r>
      <w:r w:rsidR="00D45D26">
        <w:t>and</w:t>
      </w:r>
      <w:r w:rsidR="00F25DB3">
        <w:t xml:space="preserve"> the propensity of the </w:t>
      </w:r>
      <w:r>
        <w:t xml:space="preserve">hardness of the </w:t>
      </w:r>
      <w:r w:rsidR="00F25DB3">
        <w:t xml:space="preserve">Israelites hearts to not care </w:t>
      </w:r>
      <w:r w:rsidR="00D45D26">
        <w:t xml:space="preserve">for </w:t>
      </w:r>
      <w:r w:rsidR="00F25DB3">
        <w:t>them.</w:t>
      </w:r>
    </w:p>
    <w:p w14:paraId="615B3301" w14:textId="64A783B4" w:rsidR="009C4EDB" w:rsidRDefault="005704E8" w:rsidP="009C4EDB">
      <w:pPr>
        <w:pStyle w:val="Normal-Manual"/>
        <w:numPr>
          <w:ilvl w:val="0"/>
          <w:numId w:val="3"/>
        </w:numPr>
      </w:pPr>
      <w:r>
        <w:t>V. 13 records the affirmation the people are to make a</w:t>
      </w:r>
      <w:r w:rsidR="000F6983">
        <w:t xml:space="preserve">fter </w:t>
      </w:r>
      <w:r>
        <w:t>they</w:t>
      </w:r>
      <w:r w:rsidR="000F6983">
        <w:t xml:space="preserve"> </w:t>
      </w:r>
      <w:r w:rsidR="00F25DB3">
        <w:t>have</w:t>
      </w:r>
      <w:r w:rsidR="000F6983">
        <w:t xml:space="preserve"> shared with the Levite, alien, orphan and widow</w:t>
      </w:r>
      <w:r>
        <w:t>. T</w:t>
      </w:r>
      <w:r w:rsidR="00F25DB3">
        <w:t xml:space="preserve">hey </w:t>
      </w:r>
      <w:r>
        <w:t>must</w:t>
      </w:r>
      <w:r w:rsidR="00F25DB3">
        <w:t xml:space="preserve"> </w:t>
      </w:r>
      <w:r w:rsidR="000F6983">
        <w:t xml:space="preserve">declare their fulfillment of </w:t>
      </w:r>
      <w:r w:rsidR="00F25DB3">
        <w:t>God’s</w:t>
      </w:r>
      <w:r w:rsidR="000F6983">
        <w:t xml:space="preserve"> command before Him. This functions as </w:t>
      </w:r>
      <w:r w:rsidR="00F25DB3" w:rsidRPr="00667F65">
        <w:rPr>
          <w:noProof/>
        </w:rPr>
        <w:t>built-in</w:t>
      </w:r>
      <w:r w:rsidR="000F6983">
        <w:t xml:space="preserve"> accountability.</w:t>
      </w:r>
      <w:r w:rsidR="009C22D1">
        <w:t xml:space="preserve"> </w:t>
      </w:r>
    </w:p>
    <w:p w14:paraId="672B8BB2" w14:textId="12383628" w:rsidR="009C4EDB" w:rsidRDefault="001A5C48" w:rsidP="001A5C48">
      <w:pPr>
        <w:pStyle w:val="Normal-Manual"/>
        <w:numPr>
          <w:ilvl w:val="1"/>
          <w:numId w:val="3"/>
        </w:numPr>
      </w:pPr>
      <w:r>
        <w:t>“</w:t>
      </w:r>
      <w:r w:rsidR="009C4EDB">
        <w:t>As with the offering of the firstfruits (26:1–11), the setting aside of the tithe is to be accompanied by an affirmation from the worshiper, who first testifies to his own obedience and then asks Yahweh to continue blessing him. His testimony involves a positive and a negative statement, both of which are followed by a “global” affirmation of obedience.</w:t>
      </w:r>
      <w:r w:rsidRPr="001A5C48">
        <w:t xml:space="preserve"> </w:t>
      </w:r>
      <w:r>
        <w:t>The giver begins by declaring that he has, in fact, “removed” this tithe from his home and turned it over to the needy people for whom it was intended.”</w:t>
      </w:r>
      <w:r w:rsidR="009C4EDB">
        <w:rPr>
          <w:rStyle w:val="FootnoteReference"/>
        </w:rPr>
        <w:footnoteReference w:id="22"/>
      </w:r>
    </w:p>
    <w:p w14:paraId="1BC29E8D" w14:textId="375187DA" w:rsidR="00EF0865" w:rsidRPr="00FE7DDF" w:rsidRDefault="001A5C48" w:rsidP="00EF0865">
      <w:pPr>
        <w:pStyle w:val="Normal-Manual"/>
        <w:numPr>
          <w:ilvl w:val="1"/>
          <w:numId w:val="3"/>
        </w:numPr>
      </w:pPr>
      <w:r>
        <w:rPr>
          <w:rFonts w:cs="Times New Roman"/>
          <w:color w:val="auto"/>
        </w:rPr>
        <w:t xml:space="preserve"> </w:t>
      </w:r>
      <w:r w:rsidR="00EF0865">
        <w:rPr>
          <w:rFonts w:cs="Times New Roman"/>
          <w:color w:val="auto"/>
        </w:rPr>
        <w:t>“</w:t>
      </w:r>
      <w:r w:rsidR="00EF0865" w:rsidRPr="00EF0865">
        <w:rPr>
          <w:rFonts w:cs="Times New Roman"/>
          <w:color w:val="auto"/>
        </w:rPr>
        <w:t xml:space="preserve">The tithe itself is referred to as ‘the holy portion’, or strictly ‘the holy (thing)’. This word is used only three times in Deuteronomy, though it is frequent in other contexts for the sanctuary, or for the abstract idea of holiness. The occurrences in Deuteronomy are all in </w:t>
      </w:r>
      <w:r w:rsidR="00EF0865" w:rsidRPr="00667F65">
        <w:rPr>
          <w:rFonts w:cs="Times New Roman"/>
          <w:noProof/>
          <w:color w:val="auto"/>
        </w:rPr>
        <w:t>chs</w:t>
      </w:r>
      <w:r w:rsidR="00EF0865" w:rsidRPr="00EF0865">
        <w:rPr>
          <w:rFonts w:cs="Times New Roman"/>
          <w:color w:val="auto"/>
        </w:rPr>
        <w:t>. 12 and 26: in 12:26 it refers to offerings in general, and in 26:15 it is used in the sense of ‘sanctuary’ (cf. Exod. 26:33), in this case meaning Yahweh’s dwelling-place in heaven. Only in v. 13 is it used of a particular offering.</w:t>
      </w:r>
      <w:r w:rsidR="00EF0865">
        <w:rPr>
          <w:rFonts w:cs="Times New Roman"/>
          <w:color w:val="auto"/>
        </w:rPr>
        <w:t>”</w:t>
      </w:r>
      <w:r w:rsidR="00EF0865" w:rsidRPr="00EF0865">
        <w:rPr>
          <w:rFonts w:cs="Times New Roman"/>
          <w:color w:val="auto"/>
          <w:vertAlign w:val="superscript"/>
        </w:rPr>
        <w:footnoteReference w:id="23"/>
      </w:r>
    </w:p>
    <w:p w14:paraId="3284DD8E" w14:textId="77C78A5A" w:rsidR="00FE7DDF" w:rsidRDefault="00FE7DDF" w:rsidP="00FE7DDF">
      <w:pPr>
        <w:pStyle w:val="Normal-Manual"/>
        <w:numPr>
          <w:ilvl w:val="1"/>
          <w:numId w:val="3"/>
        </w:numPr>
      </w:pPr>
      <w:r>
        <w:t xml:space="preserve">To refer to the tithe as </w:t>
      </w:r>
      <w:r w:rsidR="00D45D26">
        <w:t xml:space="preserve">a </w:t>
      </w:r>
      <w:r>
        <w:t>“sacred portion” “indicates a rigorous separation (McConville, 381) to emphasize that the worshiper has kept absolutely none of the tithe for personal consumption.”</w:t>
      </w:r>
      <w:r>
        <w:rPr>
          <w:rStyle w:val="FootnoteReference"/>
        </w:rPr>
        <w:footnoteReference w:id="24"/>
      </w:r>
    </w:p>
    <w:p w14:paraId="57183E7B" w14:textId="46430C67" w:rsidR="004B26D3" w:rsidRDefault="001A5C48" w:rsidP="001A5C48">
      <w:pPr>
        <w:pStyle w:val="Normal-Manual"/>
        <w:numPr>
          <w:ilvl w:val="0"/>
          <w:numId w:val="3"/>
        </w:numPr>
      </w:pPr>
      <w:r>
        <w:t>The contents of this statement</w:t>
      </w:r>
      <w:r w:rsidR="00F973DE">
        <w:t xml:space="preserve"> (13-14)</w:t>
      </w:r>
      <w:r>
        <w:t xml:space="preserve"> articulate that the </w:t>
      </w:r>
      <w:proofErr w:type="gramStart"/>
      <w:r>
        <w:t>manner in which</w:t>
      </w:r>
      <w:proofErr w:type="gramEnd"/>
      <w:r>
        <w:t xml:space="preserve"> the tithe was given was exactly according to God’s instructions. </w:t>
      </w:r>
      <w:r w:rsidR="004B26D3">
        <w:t xml:space="preserve">God is not only particular about how He is worshiped, but this specificity prevents syncretistic worship. The different details provided in verse 14 (mourning, </w:t>
      </w:r>
      <w:r w:rsidR="00F25DB3">
        <w:t>being unclean, and offering</w:t>
      </w:r>
      <w:r w:rsidR="004B26D3">
        <w:t xml:space="preserve"> to the dead) allude to various practices of the pagan worship of the surrounding nations.</w:t>
      </w:r>
    </w:p>
    <w:p w14:paraId="444D2FD8" w14:textId="7640828A" w:rsidR="00F25DB3" w:rsidRPr="00EF0865" w:rsidRDefault="00F25DB3" w:rsidP="00F25DB3">
      <w:pPr>
        <w:pStyle w:val="Normal-Manual"/>
        <w:numPr>
          <w:ilvl w:val="1"/>
          <w:numId w:val="3"/>
        </w:numPr>
      </w:pPr>
      <w:r>
        <w:rPr>
          <w:rFonts w:cs="Times New Roman"/>
          <w:color w:val="auto"/>
        </w:rPr>
        <w:lastRenderedPageBreak/>
        <w:t>“</w:t>
      </w:r>
      <w:r w:rsidRPr="00F25DB3">
        <w:rPr>
          <w:rFonts w:cs="Times New Roman"/>
          <w:color w:val="auto"/>
        </w:rPr>
        <w:t>The noun translated “mourning” (</w:t>
      </w:r>
      <w:proofErr w:type="spellStart"/>
      <w:r w:rsidRPr="00F25DB3">
        <w:rPr>
          <w:rFonts w:cs="Times New Roman"/>
          <w:i/>
          <w:color w:val="auto"/>
        </w:rPr>
        <w:t>ʾōneh</w:t>
      </w:r>
      <w:proofErr w:type="spellEnd"/>
      <w:r w:rsidRPr="00F25DB3">
        <w:rPr>
          <w:rFonts w:cs="Times New Roman"/>
          <w:color w:val="auto"/>
        </w:rPr>
        <w:t xml:space="preserve">) is derived not from the verb </w:t>
      </w:r>
      <w:proofErr w:type="spellStart"/>
      <w:r w:rsidRPr="00F25DB3">
        <w:rPr>
          <w:rFonts w:cs="Times New Roman"/>
          <w:i/>
          <w:color w:val="auto"/>
        </w:rPr>
        <w:t>ʾāwan</w:t>
      </w:r>
      <w:proofErr w:type="spellEnd"/>
      <w:r w:rsidRPr="00F25DB3">
        <w:rPr>
          <w:rFonts w:cs="Times New Roman"/>
          <w:color w:val="auto"/>
        </w:rPr>
        <w:t xml:space="preserve"> (“be strong, mighty”) but from </w:t>
      </w:r>
      <w:proofErr w:type="spellStart"/>
      <w:r w:rsidRPr="00F25DB3">
        <w:rPr>
          <w:rFonts w:cs="Times New Roman"/>
          <w:i/>
          <w:color w:val="auto"/>
        </w:rPr>
        <w:t>ʾānâ</w:t>
      </w:r>
      <w:proofErr w:type="spellEnd"/>
      <w:r w:rsidRPr="00F25DB3">
        <w:rPr>
          <w:rFonts w:cs="Times New Roman"/>
          <w:color w:val="auto"/>
        </w:rPr>
        <w:t xml:space="preserve"> (“mourn”). It occurs only one other time in Hos 9:4 in the context of pagan rituals in which grain and wine were consumed and offered as sacrifices (Hos 9:1–5). Israelite mourning, to the contrary, was to include fasting as </w:t>
      </w:r>
      <w:proofErr w:type="spellStart"/>
      <w:r w:rsidRPr="00F25DB3">
        <w:rPr>
          <w:rFonts w:cs="Times New Roman"/>
          <w:color w:val="auto"/>
        </w:rPr>
        <w:t>Ezek</w:t>
      </w:r>
      <w:proofErr w:type="spellEnd"/>
      <w:r w:rsidRPr="00F25DB3">
        <w:rPr>
          <w:rFonts w:cs="Times New Roman"/>
          <w:color w:val="auto"/>
        </w:rPr>
        <w:t xml:space="preserve"> 24:15–24 makes clear. Ordinary mourning occasioned by death was not in view here, however, for the </w:t>
      </w:r>
      <w:proofErr w:type="spellStart"/>
      <w:r w:rsidRPr="00F25DB3">
        <w:rPr>
          <w:rFonts w:cs="Times New Roman"/>
          <w:color w:val="auto"/>
        </w:rPr>
        <w:t>offerer</w:t>
      </w:r>
      <w:proofErr w:type="spellEnd"/>
      <w:r w:rsidRPr="00F25DB3">
        <w:rPr>
          <w:rFonts w:cs="Times New Roman"/>
          <w:color w:val="auto"/>
        </w:rPr>
        <w:t xml:space="preserve"> was to disclaim having made </w:t>
      </w:r>
      <w:r w:rsidRPr="00667F65">
        <w:rPr>
          <w:rFonts w:cs="Times New Roman"/>
          <w:noProof/>
          <w:color w:val="auto"/>
        </w:rPr>
        <w:t>any</w:t>
      </w:r>
      <w:r w:rsidRPr="00F25DB3">
        <w:rPr>
          <w:rFonts w:cs="Times New Roman"/>
          <w:color w:val="auto"/>
        </w:rPr>
        <w:t xml:space="preserve"> offering to the dead. This no doubt is to be understood in terms of Canaanite ritual in which deities such as Baal who had been consigned to the Netherworld were sustained by food offerings until they could revive and return to their procreative function on the earth.</w:t>
      </w:r>
      <w:r>
        <w:rPr>
          <w:rFonts w:cs="Times New Roman"/>
          <w:color w:val="auto"/>
        </w:rPr>
        <w:t>”</w:t>
      </w:r>
      <w:r w:rsidRPr="00F25DB3">
        <w:rPr>
          <w:rFonts w:cs="Times New Roman"/>
          <w:color w:val="auto"/>
          <w:vertAlign w:val="superscript"/>
        </w:rPr>
        <w:footnoteReference w:id="25"/>
      </w:r>
    </w:p>
    <w:p w14:paraId="23DCE6D7" w14:textId="5C0AD50A" w:rsidR="00EF0865" w:rsidRDefault="00EF0865" w:rsidP="00F25DB3">
      <w:pPr>
        <w:pStyle w:val="Normal-Manual"/>
        <w:numPr>
          <w:ilvl w:val="1"/>
          <w:numId w:val="3"/>
        </w:numPr>
      </w:pPr>
      <w:r>
        <w:rPr>
          <w:rFonts w:cs="Times New Roman"/>
          <w:color w:val="auto"/>
        </w:rPr>
        <w:t>“</w:t>
      </w:r>
      <w:r w:rsidRPr="00EF0865">
        <w:rPr>
          <w:rFonts w:cs="Times New Roman"/>
          <w:color w:val="auto"/>
        </w:rPr>
        <w:t>The affirmation that the worshipper has not removed the tithe ‘while in mourning’ can be explained by the fact that he would or might have been ritually unclean because of contact with a corpse</w:t>
      </w:r>
      <w:r>
        <w:rPr>
          <w:rFonts w:cs="Times New Roman"/>
          <w:color w:val="auto"/>
        </w:rPr>
        <w:t>…</w:t>
      </w:r>
      <w:r w:rsidRPr="00EF0865">
        <w:t xml:space="preserve"> </w:t>
      </w:r>
      <w:r w:rsidRPr="00EF0865">
        <w:rPr>
          <w:rFonts w:cs="Times New Roman"/>
          <w:color w:val="auto"/>
        </w:rPr>
        <w:t xml:space="preserve">This best explains the second disclaimer, ‘I have not … removed it while ritually unclean’, which proceeds to a comprehensive statement that the </w:t>
      </w:r>
      <w:proofErr w:type="spellStart"/>
      <w:r w:rsidRPr="00EF0865">
        <w:rPr>
          <w:rFonts w:cs="Times New Roman"/>
          <w:color w:val="auto"/>
        </w:rPr>
        <w:t>offerer</w:t>
      </w:r>
      <w:proofErr w:type="spellEnd"/>
      <w:r w:rsidRPr="00EF0865">
        <w:rPr>
          <w:rFonts w:cs="Times New Roman"/>
          <w:color w:val="auto"/>
        </w:rPr>
        <w:t xml:space="preserve"> was in a ritually ‘clean’ state. The language of cleanness and uncleanness belongs to the ‘holiness sphere’, that is, the organization of the world according to categories of holiness, regular cleanness and uncleanness or contamination. Just as the </w:t>
      </w:r>
      <w:proofErr w:type="spellStart"/>
      <w:r w:rsidRPr="00EF0865">
        <w:rPr>
          <w:rFonts w:cs="Times New Roman"/>
          <w:color w:val="auto"/>
        </w:rPr>
        <w:t>offerer</w:t>
      </w:r>
      <w:proofErr w:type="spellEnd"/>
      <w:r w:rsidRPr="00EF0865">
        <w:rPr>
          <w:rFonts w:cs="Times New Roman"/>
          <w:color w:val="auto"/>
        </w:rPr>
        <w:t xml:space="preserve"> could not make offerings in the sanctuary while ‘unclean’, neither could he handle the third-year tithe in such a condition, even though it never came to the sanctuary.</w:t>
      </w:r>
      <w:r>
        <w:rPr>
          <w:rFonts w:cs="Times New Roman"/>
          <w:color w:val="auto"/>
        </w:rPr>
        <w:t>”</w:t>
      </w:r>
      <w:r w:rsidRPr="00EF0865">
        <w:rPr>
          <w:rFonts w:cs="Times New Roman"/>
          <w:color w:val="auto"/>
          <w:vertAlign w:val="superscript"/>
        </w:rPr>
        <w:footnoteReference w:id="26"/>
      </w:r>
    </w:p>
    <w:p w14:paraId="2E673BDE" w14:textId="2F364AD0" w:rsidR="00B54156" w:rsidRDefault="00B54156" w:rsidP="00B54156">
      <w:pPr>
        <w:pStyle w:val="Normal-Manual"/>
        <w:numPr>
          <w:ilvl w:val="1"/>
          <w:numId w:val="3"/>
        </w:numPr>
      </w:pPr>
      <w:r>
        <w:rPr>
          <w:rFonts w:cs="Times New Roman"/>
          <w:color w:val="auto"/>
        </w:rPr>
        <w:t>“</w:t>
      </w:r>
      <w:r w:rsidRPr="00B54156">
        <w:rPr>
          <w:rFonts w:cs="Times New Roman"/>
          <w:color w:val="auto"/>
        </w:rPr>
        <w:t xml:space="preserve">The statement “I have not given any of it to the dead” refers to the common practice in antiquity of providing food and drink for the dead in </w:t>
      </w:r>
      <w:proofErr w:type="spellStart"/>
      <w:r w:rsidRPr="00B54156">
        <w:rPr>
          <w:rFonts w:cs="Times New Roman"/>
          <w:color w:val="auto"/>
        </w:rPr>
        <w:t>Sheol</w:t>
      </w:r>
      <w:proofErr w:type="spellEnd"/>
      <w:r w:rsidRPr="00B54156">
        <w:rPr>
          <w:rFonts w:cs="Times New Roman"/>
          <w:color w:val="auto"/>
        </w:rPr>
        <w:t xml:space="preserve">. “In some graves excavated at Samaria, the capital of the northern kingdom, holes were found in the floors, </w:t>
      </w:r>
      <w:proofErr w:type="gramStart"/>
      <w:r w:rsidRPr="00B54156">
        <w:rPr>
          <w:rFonts w:cs="Times New Roman"/>
          <w:color w:val="auto"/>
        </w:rPr>
        <w:t>similar to</w:t>
      </w:r>
      <w:proofErr w:type="gramEnd"/>
      <w:r w:rsidRPr="00B54156">
        <w:rPr>
          <w:rFonts w:cs="Times New Roman"/>
          <w:color w:val="auto"/>
        </w:rPr>
        <w:t xml:space="preserve"> holes found in tombs at Ugarit, which served as receptacles for food and drink offerings to the dead. The Torah does not forbid this practice, but because contact with the dead is ritually defiling, it prohibits the use of the tithe for it” (</w:t>
      </w:r>
      <w:proofErr w:type="spellStart"/>
      <w:r w:rsidRPr="00B54156">
        <w:rPr>
          <w:rFonts w:cs="Times New Roman"/>
          <w:color w:val="auto"/>
        </w:rPr>
        <w:t>Tigay</w:t>
      </w:r>
      <w:proofErr w:type="spellEnd"/>
      <w:r w:rsidRPr="00B54156">
        <w:rPr>
          <w:rFonts w:cs="Times New Roman"/>
          <w:color w:val="auto"/>
        </w:rPr>
        <w:t xml:space="preserve"> [1996] 244; Lewis, </w:t>
      </w:r>
      <w:r w:rsidRPr="00B54156">
        <w:rPr>
          <w:rFonts w:cs="Times New Roman"/>
          <w:i/>
          <w:color w:val="auto"/>
        </w:rPr>
        <w:t>Cults of the Dead,</w:t>
      </w:r>
      <w:r w:rsidRPr="00B54156">
        <w:rPr>
          <w:rFonts w:cs="Times New Roman"/>
          <w:color w:val="auto"/>
        </w:rPr>
        <w:t xml:space="preserve"> 97, 102–3).</w:t>
      </w:r>
      <w:r>
        <w:rPr>
          <w:rFonts w:cs="Times New Roman"/>
          <w:color w:val="auto"/>
        </w:rPr>
        <w:t>”</w:t>
      </w:r>
      <w:r w:rsidRPr="00B54156">
        <w:rPr>
          <w:rFonts w:cs="Times New Roman"/>
          <w:color w:val="auto"/>
          <w:vertAlign w:val="superscript"/>
        </w:rPr>
        <w:footnoteReference w:id="27"/>
      </w:r>
    </w:p>
    <w:p w14:paraId="3033C7BE" w14:textId="7A51274A" w:rsidR="00B54156" w:rsidRDefault="00EF0865" w:rsidP="00B54156">
      <w:pPr>
        <w:pStyle w:val="Normal-Manual"/>
        <w:numPr>
          <w:ilvl w:val="0"/>
          <w:numId w:val="3"/>
        </w:numPr>
      </w:pPr>
      <w:r>
        <w:t>The final affirmation of verse 14 emphasizes the true obedience of the giver. “</w:t>
      </w:r>
      <w:r w:rsidRPr="00EF0865">
        <w:rPr>
          <w:rFonts w:cs="Times New Roman"/>
          <w:color w:val="auto"/>
        </w:rPr>
        <w:t xml:space="preserve">I have listened to the voice of the </w:t>
      </w:r>
      <w:r w:rsidRPr="00EF0865">
        <w:rPr>
          <w:rFonts w:cs="Times New Roman"/>
          <w:smallCaps/>
          <w:color w:val="auto"/>
        </w:rPr>
        <w:t>Lord</w:t>
      </w:r>
      <w:r w:rsidRPr="00EF0865">
        <w:rPr>
          <w:rFonts w:cs="Times New Roman"/>
          <w:color w:val="auto"/>
        </w:rPr>
        <w:t xml:space="preserve"> my God; I have done according</w:t>
      </w:r>
      <w:r w:rsidRPr="00EF0865">
        <w:t xml:space="preserve"> </w:t>
      </w:r>
      <w:r w:rsidRPr="00EF0865">
        <w:rPr>
          <w:rFonts w:cs="Times New Roman"/>
          <w:color w:val="auto"/>
        </w:rPr>
        <w:t>to all that You have commanded me</w:t>
      </w:r>
      <w:r>
        <w:rPr>
          <w:rFonts w:cs="Times New Roman"/>
          <w:color w:val="auto"/>
        </w:rPr>
        <w:t xml:space="preserve">.” </w:t>
      </w:r>
      <w:r w:rsidR="00F973DE">
        <w:rPr>
          <w:rFonts w:cs="Times New Roman"/>
          <w:color w:val="auto"/>
        </w:rPr>
        <w:t>The Israelite first listens, then he proceeds to do. There is no aspect in which he has fallen short of what God commands, rather he has “done according to all that you have commanded.”</w:t>
      </w:r>
      <w:r w:rsidR="00F973DE">
        <w:t xml:space="preserve"> Obedience </w:t>
      </w:r>
      <w:r>
        <w:t xml:space="preserve">is also never partial. </w:t>
      </w:r>
    </w:p>
    <w:p w14:paraId="3F5345B1" w14:textId="3FC485F6" w:rsidR="00EF0865" w:rsidRDefault="004B26D3" w:rsidP="00043249">
      <w:pPr>
        <w:pStyle w:val="Normal-Manual"/>
        <w:numPr>
          <w:ilvl w:val="0"/>
          <w:numId w:val="3"/>
        </w:numPr>
      </w:pPr>
      <w:r>
        <w:t xml:space="preserve">The closing details of verse 15 are a request to God. </w:t>
      </w:r>
      <w:r w:rsidR="00AC1DB2">
        <w:t>T</w:t>
      </w:r>
      <w:r>
        <w:t xml:space="preserve">he Israelites </w:t>
      </w:r>
      <w:r w:rsidR="00AC1DB2">
        <w:t xml:space="preserve">are to </w:t>
      </w:r>
      <w:r>
        <w:t>ask the Lord to fulfill that which He said He would do</w:t>
      </w:r>
      <w:r w:rsidR="000048B4">
        <w:t xml:space="preserve"> (cf. 7:13; 28:4, 11)</w:t>
      </w:r>
      <w:r>
        <w:t xml:space="preserve">. This is fascinating, as God has made </w:t>
      </w:r>
      <w:r w:rsidRPr="000B69E4">
        <w:rPr>
          <w:noProof/>
        </w:rPr>
        <w:t>i</w:t>
      </w:r>
      <w:r w:rsidR="000B69E4">
        <w:rPr>
          <w:noProof/>
        </w:rPr>
        <w:t>t</w:t>
      </w:r>
      <w:r>
        <w:t xml:space="preserve"> clear that he will provide the very things they are to request. </w:t>
      </w:r>
      <w:r w:rsidR="001504E4">
        <w:t>“</w:t>
      </w:r>
      <w:r w:rsidR="001504E4" w:rsidRPr="001504E4">
        <w:rPr>
          <w:rFonts w:cs="Times New Roman"/>
          <w:color w:val="auto"/>
        </w:rPr>
        <w:t>The worshipper, having declared his faithfulness in responding to all Yahweh’s commands, now claims his promises.</w:t>
      </w:r>
      <w:r w:rsidR="001504E4">
        <w:rPr>
          <w:rFonts w:cs="Times New Roman"/>
          <w:color w:val="auto"/>
        </w:rPr>
        <w:t>”</w:t>
      </w:r>
      <w:r w:rsidR="001504E4" w:rsidRPr="001504E4">
        <w:rPr>
          <w:rFonts w:cs="Times New Roman"/>
          <w:color w:val="auto"/>
          <w:vertAlign w:val="superscript"/>
        </w:rPr>
        <w:footnoteReference w:id="28"/>
      </w:r>
      <w:r w:rsidR="001504E4">
        <w:rPr>
          <w:rFonts w:cs="Times New Roman"/>
          <w:color w:val="auto"/>
        </w:rPr>
        <w:t xml:space="preserve"> </w:t>
      </w:r>
    </w:p>
    <w:p w14:paraId="29C6AC39" w14:textId="54A5850A" w:rsidR="00043249" w:rsidRPr="00CE7803" w:rsidRDefault="000D319C" w:rsidP="00043249">
      <w:pPr>
        <w:pStyle w:val="Normal-Manual"/>
        <w:numPr>
          <w:ilvl w:val="1"/>
          <w:numId w:val="3"/>
        </w:numPr>
      </w:pPr>
      <w:r>
        <w:rPr>
          <w:rFonts w:cs="Times New Roman"/>
          <w:color w:val="auto"/>
        </w:rPr>
        <w:t>“</w:t>
      </w:r>
      <w:r w:rsidRPr="000D319C">
        <w:rPr>
          <w:rFonts w:cs="Times New Roman"/>
          <w:color w:val="auto"/>
        </w:rPr>
        <w:t xml:space="preserve">Contrary to the frail, ineffectual gods of the nations who could even die and lie beneath the earth, Israel’s God reigned from heaven above. But his transcendence did not nullify his interest in and involvement with his covenant nation. He had made solemn promises to their fathers to give them the land of Canaan, one that flowed with </w:t>
      </w:r>
      <w:r w:rsidRPr="000D319C">
        <w:rPr>
          <w:rFonts w:cs="Times New Roman"/>
          <w:color w:val="auto"/>
        </w:rPr>
        <w:lastRenderedPageBreak/>
        <w:t xml:space="preserve">milk and honey, not because of fructifying forces attributed to nature gods but because of his providential grace (cf. </w:t>
      </w:r>
      <w:proofErr w:type="spellStart"/>
      <w:r w:rsidRPr="000D319C">
        <w:rPr>
          <w:rFonts w:cs="Times New Roman"/>
          <w:color w:val="auto"/>
        </w:rPr>
        <w:t>Deut</w:t>
      </w:r>
      <w:proofErr w:type="spellEnd"/>
      <w:r w:rsidRPr="000D319C">
        <w:rPr>
          <w:rFonts w:cs="Times New Roman"/>
          <w:color w:val="auto"/>
        </w:rPr>
        <w:t xml:space="preserve"> 11:8–12).</w:t>
      </w:r>
      <w:r>
        <w:rPr>
          <w:rFonts w:cs="Times New Roman"/>
          <w:color w:val="auto"/>
        </w:rPr>
        <w:t>”</w:t>
      </w:r>
      <w:r w:rsidRPr="000D319C">
        <w:rPr>
          <w:rFonts w:cs="Times New Roman"/>
          <w:color w:val="auto"/>
          <w:vertAlign w:val="superscript"/>
        </w:rPr>
        <w:footnoteReference w:id="29"/>
      </w:r>
    </w:p>
    <w:p w14:paraId="6CEDBDF3" w14:textId="1E07D087" w:rsidR="00CE7803" w:rsidRDefault="00CE7803" w:rsidP="00CE7803">
      <w:pPr>
        <w:pStyle w:val="Normal-Manual"/>
        <w:numPr>
          <w:ilvl w:val="1"/>
          <w:numId w:val="3"/>
        </w:numPr>
      </w:pPr>
      <w:r>
        <w:t xml:space="preserve">“God’s blessings on Israel are not something they deserve in the light of their obedience in this area; their covenantal Lord has simply determined to bless them. The worshiper is asking Yahweh to continue blessing them. These blessings (being in the land God promises and enjoying </w:t>
      </w:r>
      <w:r w:rsidRPr="000B69E4">
        <w:rPr>
          <w:noProof/>
        </w:rPr>
        <w:t>abundance</w:t>
      </w:r>
      <w:r>
        <w:t xml:space="preserve"> of agriculture and livestock) are a fulfillment of the oath Yahweh made to the patriarchs."</w:t>
      </w:r>
      <w:r>
        <w:rPr>
          <w:rStyle w:val="FootnoteReference"/>
        </w:rPr>
        <w:footnoteReference w:id="30"/>
      </w:r>
    </w:p>
    <w:p w14:paraId="28B90C8B" w14:textId="416BF7F0" w:rsidR="00272723" w:rsidRDefault="00043249" w:rsidP="00272723">
      <w:pPr>
        <w:pStyle w:val="Normal-Manual"/>
        <w:numPr>
          <w:ilvl w:val="0"/>
          <w:numId w:val="3"/>
        </w:numPr>
      </w:pPr>
      <w:r>
        <w:rPr>
          <w:rFonts w:cs="Times New Roman"/>
          <w:color w:val="auto"/>
        </w:rPr>
        <w:t>B</w:t>
      </w:r>
      <w:r w:rsidRPr="00EF0865">
        <w:rPr>
          <w:rFonts w:cs="Times New Roman"/>
          <w:color w:val="auto"/>
        </w:rPr>
        <w:t>oth the celebration of first fruits and giving the third-year tithe have been presented as carried by individuals. Yet, with the nation of Israel, i</w:t>
      </w:r>
      <w:r>
        <w:rPr>
          <w:rFonts w:cs="Times New Roman"/>
          <w:color w:val="auto"/>
        </w:rPr>
        <w:t>t</w:t>
      </w:r>
      <w:r w:rsidRPr="00EF0865">
        <w:rPr>
          <w:rFonts w:cs="Times New Roman"/>
          <w:color w:val="auto"/>
        </w:rPr>
        <w:t xml:space="preserve"> is impossible to separate the individual from the whole. This can even </w:t>
      </w:r>
      <w:r w:rsidRPr="000B69E4">
        <w:rPr>
          <w:rFonts w:cs="Times New Roman"/>
          <w:noProof/>
          <w:color w:val="auto"/>
        </w:rPr>
        <w:t>be</w:t>
      </w:r>
      <w:r w:rsidRPr="00EF0865">
        <w:rPr>
          <w:rFonts w:cs="Times New Roman"/>
          <w:color w:val="auto"/>
        </w:rPr>
        <w:t xml:space="preserve"> seen in the request made after completing the tith</w:t>
      </w:r>
      <w:r w:rsidR="00272723">
        <w:rPr>
          <w:rFonts w:cs="Times New Roman"/>
          <w:color w:val="auto"/>
        </w:rPr>
        <w:t>e</w:t>
      </w:r>
      <w:r w:rsidRPr="00EF0865">
        <w:rPr>
          <w:rFonts w:cs="Times New Roman"/>
          <w:color w:val="auto"/>
        </w:rPr>
        <w:t xml:space="preserve">. “As </w:t>
      </w:r>
      <w:proofErr w:type="spellStart"/>
      <w:r w:rsidRPr="00EF0865">
        <w:rPr>
          <w:rFonts w:cs="Times New Roman"/>
          <w:color w:val="auto"/>
        </w:rPr>
        <w:t>Tigay</w:t>
      </w:r>
      <w:proofErr w:type="spellEnd"/>
      <w:r w:rsidRPr="00EF0865">
        <w:rPr>
          <w:rFonts w:cs="Times New Roman"/>
          <w:color w:val="auto"/>
        </w:rPr>
        <w:t xml:space="preserve"> notes, the prayer that God would “bless your people Israel” “is typical of prescribed prayers in Judaism: the individual does not pray on his own behalf but on behalf of the entire Jewish people or the whole human race” ([1996] 244).”</w:t>
      </w:r>
      <w:r w:rsidRPr="00B54156">
        <w:rPr>
          <w:rFonts w:cs="Times New Roman"/>
          <w:color w:val="auto"/>
          <w:vertAlign w:val="superscript"/>
        </w:rPr>
        <w:footnoteReference w:id="31"/>
      </w:r>
    </w:p>
    <w:p w14:paraId="3F77DA69" w14:textId="2BB029D9" w:rsidR="004B26D3" w:rsidRDefault="004B26D3" w:rsidP="004B26D3">
      <w:pPr>
        <w:pStyle w:val="Normal-Manual"/>
      </w:pPr>
    </w:p>
    <w:p w14:paraId="7EB1A14B" w14:textId="41060D54" w:rsidR="004B26D3" w:rsidRDefault="008273AB" w:rsidP="008273AB">
      <w:pPr>
        <w:pStyle w:val="Heading2"/>
      </w:pPr>
      <w:r>
        <w:t>Deut. 26:16-19 ~ Repetition of Covenant Commitments</w:t>
      </w:r>
    </w:p>
    <w:p w14:paraId="6406ECF5" w14:textId="6BCBBE17" w:rsidR="008273AB" w:rsidRPr="000B1DDC" w:rsidRDefault="008273AB" w:rsidP="008273AB">
      <w:pPr>
        <w:pStyle w:val="NormalWeb"/>
        <w:rPr>
          <w:i/>
        </w:rPr>
      </w:pPr>
      <w:r w:rsidRPr="000B1DDC">
        <w:rPr>
          <w:i/>
          <w:vertAlign w:val="superscript"/>
          <w:lang w:val="en"/>
        </w:rPr>
        <w:t>16</w:t>
      </w:r>
      <w:r w:rsidRPr="000B1DDC">
        <w:rPr>
          <w:i/>
          <w:lang w:val="en"/>
        </w:rPr>
        <w:t xml:space="preserve"> </w:t>
      </w:r>
      <w:r w:rsidRPr="000B1DDC">
        <w:rPr>
          <w:i/>
        </w:rPr>
        <w:t xml:space="preserve">“This day the </w:t>
      </w:r>
      <w:r w:rsidRPr="000B1DDC">
        <w:rPr>
          <w:i/>
          <w:smallCaps/>
        </w:rPr>
        <w:t>Lord</w:t>
      </w:r>
      <w:r w:rsidRPr="000B1DDC">
        <w:rPr>
          <w:i/>
        </w:rPr>
        <w:t xml:space="preserve"> your God commands you to do these statutes and ordinances. You shall </w:t>
      </w:r>
      <w:r w:rsidRPr="000B69E4">
        <w:rPr>
          <w:i/>
          <w:noProof/>
        </w:rPr>
        <w:t>therefore</w:t>
      </w:r>
      <w:r w:rsidRPr="000B1DDC">
        <w:rPr>
          <w:i/>
        </w:rPr>
        <w:t xml:space="preserve"> be careful to do them with all your heart and with all your soul. </w:t>
      </w:r>
      <w:r w:rsidRPr="000B1DDC">
        <w:rPr>
          <w:i/>
          <w:vertAlign w:val="superscript"/>
          <w:lang w:val="en"/>
        </w:rPr>
        <w:t>17</w:t>
      </w:r>
      <w:r w:rsidRPr="000B1DDC">
        <w:rPr>
          <w:i/>
          <w:lang w:val="en"/>
        </w:rPr>
        <w:t xml:space="preserve"> </w:t>
      </w:r>
      <w:r w:rsidRPr="000B1DDC">
        <w:rPr>
          <w:i/>
        </w:rPr>
        <w:t xml:space="preserve">“You have today declared the </w:t>
      </w:r>
      <w:r w:rsidRPr="000B1DDC">
        <w:rPr>
          <w:i/>
          <w:smallCaps/>
        </w:rPr>
        <w:t>Lord</w:t>
      </w:r>
      <w:r w:rsidRPr="000B1DDC">
        <w:rPr>
          <w:i/>
        </w:rPr>
        <w:t xml:space="preserve"> to be your God, and that you would walk in His ways and keep His statutes, His commandments and His ordinances, and listen to His voice. </w:t>
      </w:r>
      <w:r w:rsidRPr="000B1DDC">
        <w:rPr>
          <w:i/>
          <w:vertAlign w:val="superscript"/>
          <w:lang w:val="en"/>
        </w:rPr>
        <w:t>18</w:t>
      </w:r>
      <w:r w:rsidRPr="000B1DDC">
        <w:rPr>
          <w:i/>
          <w:lang w:val="en"/>
        </w:rPr>
        <w:t xml:space="preserve"> </w:t>
      </w:r>
      <w:r w:rsidRPr="000B1DDC">
        <w:rPr>
          <w:i/>
        </w:rPr>
        <w:t xml:space="preserve">“The </w:t>
      </w:r>
      <w:r w:rsidRPr="000B1DDC">
        <w:rPr>
          <w:i/>
          <w:smallCaps/>
        </w:rPr>
        <w:t>Lord</w:t>
      </w:r>
      <w:r w:rsidRPr="000B1DDC">
        <w:rPr>
          <w:i/>
        </w:rPr>
        <w:t xml:space="preserve"> has today declared you to be His people, a treasured possession, as He promised you, and that you should keep all His commandments; </w:t>
      </w:r>
      <w:r w:rsidRPr="000B1DDC">
        <w:rPr>
          <w:i/>
          <w:vertAlign w:val="superscript"/>
          <w:lang w:val="en"/>
        </w:rPr>
        <w:t>19</w:t>
      </w:r>
      <w:r w:rsidRPr="000B1DDC">
        <w:rPr>
          <w:i/>
          <w:lang w:val="en"/>
        </w:rPr>
        <w:t xml:space="preserve"> </w:t>
      </w:r>
      <w:r w:rsidRPr="000B1DDC">
        <w:rPr>
          <w:i/>
        </w:rPr>
        <w:t xml:space="preserve">and that He will set you high above all nations which He has made, for praise, fame, and honor; and that you shall be a consecrated people to the </w:t>
      </w:r>
      <w:r w:rsidRPr="000B1DDC">
        <w:rPr>
          <w:i/>
          <w:smallCaps/>
        </w:rPr>
        <w:t>Lord</w:t>
      </w:r>
      <w:r w:rsidRPr="000B1DDC">
        <w:rPr>
          <w:i/>
        </w:rPr>
        <w:t xml:space="preserve"> your God, as He has spoken.” </w:t>
      </w:r>
    </w:p>
    <w:p w14:paraId="47ADA6C4" w14:textId="7199FB22" w:rsidR="004B26D3" w:rsidRPr="007B6C12" w:rsidRDefault="001504E4" w:rsidP="004B26D3">
      <w:pPr>
        <w:pStyle w:val="Normal-Manual"/>
        <w:numPr>
          <w:ilvl w:val="0"/>
          <w:numId w:val="3"/>
        </w:numPr>
      </w:pPr>
      <w:r>
        <w:t xml:space="preserve">Before Israel can get too far </w:t>
      </w:r>
      <w:r w:rsidR="008273AB">
        <w:t>ahead</w:t>
      </w:r>
      <w:r>
        <w:t xml:space="preserve"> of themselves, the focus </w:t>
      </w:r>
      <w:r w:rsidRPr="000B69E4">
        <w:rPr>
          <w:noProof/>
        </w:rPr>
        <w:t>shift</w:t>
      </w:r>
      <w:r w:rsidR="000B69E4" w:rsidRPr="000B69E4">
        <w:rPr>
          <w:noProof/>
        </w:rPr>
        <w:t>s</w:t>
      </w:r>
      <w:r>
        <w:t xml:space="preserve"> away from the future and back to the present. “</w:t>
      </w:r>
      <w:r w:rsidRPr="001504E4">
        <w:rPr>
          <w:rFonts w:cs="Times New Roman"/>
          <w:color w:val="auto"/>
        </w:rPr>
        <w:t>The phrase ‘this day’, in the emphatic initial position in the clause, draws attention to the return to the Mosaic present. There is a return, too, to the Deuteronomic main theme, the need to keep the ‘laws and statutes’, which have now been fully rehearsed. Deut. 26:16 thus echoes 12:1, which marked the beginning of the law code, and announces its closure</w:t>
      </w:r>
      <w:r>
        <w:rPr>
          <w:rFonts w:cs="Times New Roman"/>
          <w:color w:val="auto"/>
        </w:rPr>
        <w:t>.”</w:t>
      </w:r>
      <w:r w:rsidRPr="001504E4">
        <w:rPr>
          <w:rFonts w:cs="Times New Roman"/>
          <w:color w:val="auto"/>
          <w:vertAlign w:val="superscript"/>
        </w:rPr>
        <w:footnoteReference w:id="32"/>
      </w:r>
    </w:p>
    <w:p w14:paraId="2F9A6D24" w14:textId="77777777" w:rsidR="007B6C12" w:rsidRPr="00E92E87" w:rsidRDefault="007B6C12" w:rsidP="007B6C12">
      <w:pPr>
        <w:pStyle w:val="Normal-Manual"/>
        <w:numPr>
          <w:ilvl w:val="1"/>
          <w:numId w:val="3"/>
        </w:numPr>
      </w:pPr>
      <w:r>
        <w:rPr>
          <w:rFonts w:cs="Times New Roman"/>
          <w:color w:val="auto"/>
        </w:rPr>
        <w:t>“</w:t>
      </w:r>
      <w:r w:rsidRPr="00E92E87">
        <w:rPr>
          <w:rFonts w:cs="Times New Roman"/>
          <w:color w:val="auto"/>
        </w:rPr>
        <w:t xml:space="preserve">The recitation of the laws that God revealed to Moses is now complete, and attention shifts to the covenant relationship between God and his chosen people. The people solemnly declare that YHWH is their God and that they will obey him (v 17); and God, on his part, affirms that he will set </w:t>
      </w:r>
      <w:r w:rsidRPr="000B69E4">
        <w:rPr>
          <w:rFonts w:cs="Times New Roman"/>
          <w:noProof/>
          <w:color w:val="auto"/>
        </w:rPr>
        <w:t>them</w:t>
      </w:r>
      <w:r w:rsidRPr="00E92E87">
        <w:rPr>
          <w:rFonts w:cs="Times New Roman"/>
          <w:color w:val="auto"/>
        </w:rPr>
        <w:t xml:space="preserve"> “high above all the nations … for praise and for fame and for honor” and that Israel shall be a holy people (</w:t>
      </w:r>
      <w:proofErr w:type="spellStart"/>
      <w:r w:rsidRPr="000B69E4">
        <w:rPr>
          <w:rFonts w:cs="Times New Roman"/>
          <w:noProof/>
          <w:color w:val="auto"/>
        </w:rPr>
        <w:t>vv</w:t>
      </w:r>
      <w:proofErr w:type="spellEnd"/>
      <w:r w:rsidRPr="00E92E87">
        <w:rPr>
          <w:rFonts w:cs="Times New Roman"/>
          <w:color w:val="auto"/>
        </w:rPr>
        <w:t xml:space="preserve"> 18–19).</w:t>
      </w:r>
      <w:r>
        <w:rPr>
          <w:rFonts w:cs="Times New Roman"/>
          <w:color w:val="auto"/>
        </w:rPr>
        <w:t>”</w:t>
      </w:r>
      <w:r w:rsidRPr="00E92E87">
        <w:rPr>
          <w:rFonts w:cs="Times New Roman"/>
          <w:color w:val="auto"/>
          <w:vertAlign w:val="superscript"/>
        </w:rPr>
        <w:footnoteReference w:id="33"/>
      </w:r>
    </w:p>
    <w:p w14:paraId="7904B82C" w14:textId="4965D3E7" w:rsidR="007B7FC1" w:rsidRPr="007B7FC1" w:rsidRDefault="007B7FC1" w:rsidP="007B7FC1">
      <w:pPr>
        <w:pStyle w:val="Normal-Manual"/>
        <w:numPr>
          <w:ilvl w:val="0"/>
          <w:numId w:val="3"/>
        </w:numPr>
        <w:rPr>
          <w:rFonts w:cs="Times New Roman"/>
          <w:color w:val="auto"/>
        </w:rPr>
      </w:pPr>
      <w:r>
        <w:rPr>
          <w:rFonts w:cs="Times New Roman"/>
          <w:color w:val="auto"/>
        </w:rPr>
        <w:t>Verses 16-19 contain a reciprocal affirmation of God’s covenant with Israel. “</w:t>
      </w:r>
      <w:r w:rsidRPr="007B7FC1">
        <w:rPr>
          <w:rFonts w:cs="Times New Roman"/>
          <w:color w:val="auto"/>
        </w:rPr>
        <w:t xml:space="preserve">In this ratification of the covenant, Israel declares their allegiance to the Lord (26:17), and God declares his </w:t>
      </w:r>
      <w:r w:rsidRPr="007B7FC1">
        <w:rPr>
          <w:rFonts w:cs="Times New Roman"/>
          <w:color w:val="auto"/>
        </w:rPr>
        <w:lastRenderedPageBreak/>
        <w:t>faithfulness to his promises (26:18–19). Both affirmations are to serve as a motivation for Israel’s obedience to the covenantal stipulations.</w:t>
      </w:r>
      <w:r>
        <w:rPr>
          <w:rFonts w:cs="Times New Roman"/>
          <w:color w:val="auto"/>
        </w:rPr>
        <w:t>”</w:t>
      </w:r>
      <w:r>
        <w:rPr>
          <w:rStyle w:val="FootnoteReference"/>
          <w:rFonts w:cs="Times New Roman"/>
          <w:color w:val="auto"/>
        </w:rPr>
        <w:footnoteReference w:id="34"/>
      </w:r>
    </w:p>
    <w:p w14:paraId="34A10FDD" w14:textId="2A48DF6D" w:rsidR="001504E4" w:rsidRDefault="007B7FC1" w:rsidP="000D319C">
      <w:pPr>
        <w:pStyle w:val="Normal-Manual"/>
        <w:numPr>
          <w:ilvl w:val="1"/>
          <w:numId w:val="3"/>
        </w:numPr>
      </w:pPr>
      <w:r>
        <w:rPr>
          <w:rFonts w:cs="Times New Roman"/>
          <w:b/>
          <w:color w:val="auto"/>
        </w:rPr>
        <w:t xml:space="preserve"> </w:t>
      </w:r>
      <w:r w:rsidR="000D319C">
        <w:rPr>
          <w:rFonts w:cs="Times New Roman"/>
          <w:b/>
          <w:color w:val="auto"/>
        </w:rPr>
        <w:t>“</w:t>
      </w:r>
      <w:r w:rsidR="000D319C" w:rsidRPr="000D319C">
        <w:rPr>
          <w:rFonts w:cs="Times New Roman"/>
          <w:color w:val="auto"/>
        </w:rPr>
        <w:t>The recapitulative nature of this passage is clear from the repeated use of the technical covenant terms “decrees” (</w:t>
      </w:r>
      <w:proofErr w:type="spellStart"/>
      <w:r w:rsidR="000D319C" w:rsidRPr="000D319C">
        <w:rPr>
          <w:rFonts w:cs="Times New Roman"/>
          <w:i/>
          <w:color w:val="auto"/>
        </w:rPr>
        <w:t>ḥuqqîm</w:t>
      </w:r>
      <w:proofErr w:type="spellEnd"/>
      <w:r w:rsidR="000D319C" w:rsidRPr="000D319C">
        <w:rPr>
          <w:rFonts w:cs="Times New Roman"/>
          <w:color w:val="auto"/>
        </w:rPr>
        <w:t>, vv. 16–17), “laws” (</w:t>
      </w:r>
      <w:proofErr w:type="spellStart"/>
      <w:r w:rsidR="000D319C" w:rsidRPr="000D319C">
        <w:rPr>
          <w:rFonts w:cs="Times New Roman"/>
          <w:i/>
          <w:color w:val="auto"/>
        </w:rPr>
        <w:t>mišpāṭîm</w:t>
      </w:r>
      <w:proofErr w:type="spellEnd"/>
      <w:r w:rsidR="000D319C" w:rsidRPr="000D319C">
        <w:rPr>
          <w:rFonts w:cs="Times New Roman"/>
          <w:color w:val="auto"/>
        </w:rPr>
        <w:t>, vv. 16–17), and “commands” (</w:t>
      </w:r>
      <w:proofErr w:type="spellStart"/>
      <w:r w:rsidR="000D319C" w:rsidRPr="000D319C">
        <w:rPr>
          <w:rFonts w:cs="Times New Roman"/>
          <w:i/>
          <w:color w:val="auto"/>
        </w:rPr>
        <w:t>miṣwôt</w:t>
      </w:r>
      <w:proofErr w:type="spellEnd"/>
      <w:r w:rsidR="000D319C" w:rsidRPr="000D319C">
        <w:rPr>
          <w:rFonts w:cs="Times New Roman"/>
          <w:color w:val="auto"/>
        </w:rPr>
        <w:t>, vv. 17–18) and the reference to Israel as a “holy people” (v. 19), the Lord’s “treasured possession” (</w:t>
      </w:r>
      <w:proofErr w:type="spellStart"/>
      <w:r w:rsidR="000D319C" w:rsidRPr="000D319C">
        <w:rPr>
          <w:rFonts w:cs="Times New Roman"/>
          <w:i/>
          <w:color w:val="auto"/>
        </w:rPr>
        <w:t>ʿam</w:t>
      </w:r>
      <w:proofErr w:type="spellEnd"/>
      <w:r w:rsidR="000D319C" w:rsidRPr="000D319C">
        <w:rPr>
          <w:rFonts w:cs="Times New Roman"/>
          <w:i/>
          <w:color w:val="auto"/>
        </w:rPr>
        <w:t xml:space="preserve"> </w:t>
      </w:r>
      <w:proofErr w:type="spellStart"/>
      <w:r w:rsidR="000D319C" w:rsidRPr="000D319C">
        <w:rPr>
          <w:rFonts w:cs="Times New Roman"/>
          <w:i/>
          <w:color w:val="auto"/>
        </w:rPr>
        <w:t>sĕgullâ</w:t>
      </w:r>
      <w:proofErr w:type="spellEnd"/>
      <w:r w:rsidR="000D319C" w:rsidRPr="000D319C">
        <w:rPr>
          <w:rFonts w:cs="Times New Roman"/>
          <w:color w:val="auto"/>
        </w:rPr>
        <w:t>, v. 18). The stipulation section had begun with an appeal to obey the “decrees and laws” that were about to be promulgated (</w:t>
      </w:r>
      <w:proofErr w:type="spellStart"/>
      <w:r w:rsidR="000D319C" w:rsidRPr="000D319C">
        <w:rPr>
          <w:rFonts w:cs="Times New Roman"/>
          <w:color w:val="auto"/>
        </w:rPr>
        <w:t>Deut</w:t>
      </w:r>
      <w:proofErr w:type="spellEnd"/>
      <w:r w:rsidR="000D319C" w:rsidRPr="000D319C">
        <w:rPr>
          <w:rFonts w:cs="Times New Roman"/>
          <w:color w:val="auto"/>
        </w:rPr>
        <w:t xml:space="preserve"> 5:1); and in declaring the heart of the covenant revelation, Moses had, in the Shema, commanded the people to love the Lord “with all your heart and with all your soul” (</w:t>
      </w:r>
      <w:proofErr w:type="spellStart"/>
      <w:r w:rsidR="000D319C" w:rsidRPr="000D319C">
        <w:rPr>
          <w:rFonts w:cs="Times New Roman"/>
          <w:color w:val="auto"/>
        </w:rPr>
        <w:t>Deut</w:t>
      </w:r>
      <w:proofErr w:type="spellEnd"/>
      <w:r w:rsidR="000D319C" w:rsidRPr="000D319C">
        <w:rPr>
          <w:rFonts w:cs="Times New Roman"/>
          <w:color w:val="auto"/>
        </w:rPr>
        <w:t xml:space="preserve"> 6:5), the very words of our text (v. 16).</w:t>
      </w:r>
      <w:r w:rsidR="000D319C">
        <w:rPr>
          <w:rFonts w:cs="Times New Roman"/>
          <w:color w:val="auto"/>
        </w:rPr>
        <w:t>”</w:t>
      </w:r>
      <w:r w:rsidR="000D319C" w:rsidRPr="000D319C">
        <w:rPr>
          <w:rFonts w:cs="Times New Roman"/>
          <w:color w:val="auto"/>
          <w:vertAlign w:val="superscript"/>
        </w:rPr>
        <w:footnoteReference w:id="35"/>
      </w:r>
    </w:p>
    <w:p w14:paraId="2E4CE063" w14:textId="29DCA520" w:rsidR="00404A1F" w:rsidRDefault="00F973DE" w:rsidP="00404A1F">
      <w:pPr>
        <w:pStyle w:val="Normal-Manual"/>
        <w:numPr>
          <w:ilvl w:val="0"/>
          <w:numId w:val="3"/>
        </w:numPr>
      </w:pPr>
      <w:r>
        <w:t xml:space="preserve">V. 16 is the command of God </w:t>
      </w:r>
      <w:r w:rsidR="00550D75">
        <w:t xml:space="preserve">for the </w:t>
      </w:r>
      <w:r w:rsidR="00550D75" w:rsidRPr="000B69E4">
        <w:rPr>
          <w:noProof/>
        </w:rPr>
        <w:t>people</w:t>
      </w:r>
      <w:r w:rsidR="000B69E4">
        <w:rPr>
          <w:noProof/>
        </w:rPr>
        <w:t>'</w:t>
      </w:r>
      <w:r w:rsidR="00550D75" w:rsidRPr="000B69E4">
        <w:rPr>
          <w:noProof/>
        </w:rPr>
        <w:t>s</w:t>
      </w:r>
      <w:r w:rsidR="00550D75">
        <w:t xml:space="preserve"> complete obedience to the laws set before them. </w:t>
      </w:r>
      <w:r w:rsidR="00404A1F">
        <w:t>The repetition of the language of the Shema “</w:t>
      </w:r>
      <w:r w:rsidR="00404A1F" w:rsidRPr="00404A1F">
        <w:rPr>
          <w:rFonts w:cs="Times New Roman"/>
          <w:color w:val="auto"/>
        </w:rPr>
        <w:t>with all your heart and with all your soul</w:t>
      </w:r>
      <w:r w:rsidR="00404A1F">
        <w:rPr>
          <w:rFonts w:cs="Times New Roman"/>
          <w:color w:val="auto"/>
        </w:rPr>
        <w:t xml:space="preserve">” puts faith and love </w:t>
      </w:r>
      <w:r w:rsidR="00404A1F" w:rsidRPr="00550D75">
        <w:rPr>
          <w:rFonts w:cs="Times New Roman"/>
          <w:color w:val="auto"/>
        </w:rPr>
        <w:t>(</w:t>
      </w:r>
      <w:r w:rsidR="00550D75" w:rsidRPr="00550D75">
        <w:rPr>
          <w:rFonts w:cs="Times New Roman"/>
          <w:color w:val="auto"/>
        </w:rPr>
        <w:t>see comments on</w:t>
      </w:r>
      <w:r w:rsidR="00404A1F" w:rsidRPr="00550D75">
        <w:rPr>
          <w:rFonts w:cs="Times New Roman"/>
          <w:color w:val="auto"/>
        </w:rPr>
        <w:t xml:space="preserve"> 6:5)</w:t>
      </w:r>
      <w:r w:rsidR="00404A1F">
        <w:rPr>
          <w:rFonts w:cs="Times New Roman"/>
          <w:color w:val="auto"/>
        </w:rPr>
        <w:t xml:space="preserve"> front and center in true obedience and consequently the keeping of the covenant. The people will never truly keep the commandments of God if it is merely an external act. </w:t>
      </w:r>
    </w:p>
    <w:p w14:paraId="73857FB8" w14:textId="6A3C3116" w:rsidR="004B26D3" w:rsidRDefault="00AC06F6" w:rsidP="004B26D3">
      <w:pPr>
        <w:pStyle w:val="Normal-Manual"/>
        <w:numPr>
          <w:ilvl w:val="0"/>
          <w:numId w:val="3"/>
        </w:numPr>
      </w:pPr>
      <w:r>
        <w:t xml:space="preserve">In verse 17 Israel professes their obedience to the </w:t>
      </w:r>
      <w:r w:rsidR="00560C18">
        <w:t>l</w:t>
      </w:r>
      <w:r>
        <w:t xml:space="preserve">aws which God has </w:t>
      </w:r>
      <w:r w:rsidRPr="000B69E4">
        <w:rPr>
          <w:noProof/>
        </w:rPr>
        <w:t>la</w:t>
      </w:r>
      <w:r w:rsidR="000B69E4">
        <w:rPr>
          <w:noProof/>
        </w:rPr>
        <w:t>i</w:t>
      </w:r>
      <w:r w:rsidRPr="000B69E4">
        <w:rPr>
          <w:noProof/>
        </w:rPr>
        <w:t>d</w:t>
      </w:r>
      <w:r>
        <w:t xml:space="preserve"> out before them. </w:t>
      </w:r>
      <w:r w:rsidR="007B6C12">
        <w:t>In Israel</w:t>
      </w:r>
      <w:r w:rsidR="00560C18">
        <w:t>’s</w:t>
      </w:r>
      <w:r w:rsidR="007B6C12">
        <w:t xml:space="preserve"> affirmation, o</w:t>
      </w:r>
      <w:r w:rsidR="004B26D3">
        <w:t xml:space="preserve">nce again, obedience is not disconnected from listening. It is always when the people stop listening to the voice of God that their hearts wander from keeping </w:t>
      </w:r>
      <w:r w:rsidR="00560C18">
        <w:t>H</w:t>
      </w:r>
      <w:r w:rsidR="004B26D3">
        <w:t>is commandments.</w:t>
      </w:r>
    </w:p>
    <w:p w14:paraId="67F873CB" w14:textId="677AC718" w:rsidR="00AC06F6" w:rsidRDefault="00AC06F6" w:rsidP="00AC06F6">
      <w:pPr>
        <w:pStyle w:val="Normal-Manual"/>
        <w:numPr>
          <w:ilvl w:val="0"/>
          <w:numId w:val="3"/>
        </w:numPr>
      </w:pPr>
      <w:r>
        <w:t>The opening statements of verses 17 and 18 are a mirror image of each other</w:t>
      </w:r>
      <w:r w:rsidR="00560C18">
        <w:t xml:space="preserve">, </w:t>
      </w:r>
      <w:r w:rsidRPr="001504E4">
        <w:rPr>
          <w:sz w:val="22"/>
          <w:szCs w:val="22"/>
        </w:rPr>
        <w:t xml:space="preserve">“You have today declared the </w:t>
      </w:r>
      <w:r w:rsidRPr="001504E4">
        <w:rPr>
          <w:smallCaps/>
          <w:sz w:val="22"/>
          <w:szCs w:val="22"/>
        </w:rPr>
        <w:t>Lord</w:t>
      </w:r>
      <w:r w:rsidRPr="001504E4">
        <w:rPr>
          <w:sz w:val="22"/>
          <w:szCs w:val="22"/>
        </w:rPr>
        <w:t xml:space="preserve"> to be your God…  The </w:t>
      </w:r>
      <w:r w:rsidRPr="001504E4">
        <w:rPr>
          <w:smallCaps/>
          <w:sz w:val="22"/>
          <w:szCs w:val="22"/>
        </w:rPr>
        <w:t>Lord</w:t>
      </w:r>
      <w:r w:rsidRPr="001504E4">
        <w:rPr>
          <w:sz w:val="22"/>
          <w:szCs w:val="22"/>
        </w:rPr>
        <w:t xml:space="preserve"> has today declared you to be His people”</w:t>
      </w:r>
      <w:r>
        <w:t>, showing both parties as participants in this affirmation of covenant commitment. It thus elaborates the basic covenantal formula, ‘I will be your God, and you shall be my people.’</w:t>
      </w:r>
      <w:r>
        <w:rPr>
          <w:vertAlign w:val="superscript"/>
        </w:rPr>
        <w:footnoteReference w:id="36"/>
      </w:r>
    </w:p>
    <w:p w14:paraId="5F703A3B" w14:textId="4435651D" w:rsidR="00EB301E" w:rsidRDefault="007B6C12" w:rsidP="00EB301E">
      <w:pPr>
        <w:pStyle w:val="Normal-Manual"/>
        <w:numPr>
          <w:ilvl w:val="0"/>
          <w:numId w:val="3"/>
        </w:numPr>
      </w:pPr>
      <w:r>
        <w:t>God’s declaration in verse</w:t>
      </w:r>
      <w:r w:rsidR="006F370D">
        <w:t xml:space="preserve"> 18 </w:t>
      </w:r>
      <w:r>
        <w:t>is</w:t>
      </w:r>
      <w:r w:rsidR="006F370D">
        <w:t xml:space="preserve"> the grounds upon which the covenant has come to the nation</w:t>
      </w:r>
      <w:r>
        <w:t xml:space="preserve">, God’s sovereign </w:t>
      </w:r>
      <w:r w:rsidR="00EB301E">
        <w:t xml:space="preserve">choice has established a relationship with the people. He has set </w:t>
      </w:r>
      <w:r w:rsidR="00560C18">
        <w:t>H</w:t>
      </w:r>
      <w:r w:rsidR="00EB301E">
        <w:t xml:space="preserve">is love upon the nation of Israel. He heard their cries in </w:t>
      </w:r>
      <w:r w:rsidR="00EB301E" w:rsidRPr="000B69E4">
        <w:rPr>
          <w:noProof/>
        </w:rPr>
        <w:t>Egypt</w:t>
      </w:r>
      <w:r w:rsidR="00EB301E">
        <w:t xml:space="preserve">. In His </w:t>
      </w:r>
      <w:r w:rsidR="00EB301E" w:rsidRPr="000B69E4">
        <w:rPr>
          <w:noProof/>
        </w:rPr>
        <w:t>grace</w:t>
      </w:r>
      <w:r w:rsidR="000B69E4">
        <w:rPr>
          <w:noProof/>
        </w:rPr>
        <w:t>,</w:t>
      </w:r>
      <w:r w:rsidR="00EB301E">
        <w:t xml:space="preserve"> he has redeemed them from slavery and brought them into a good land. The nation is described as “</w:t>
      </w:r>
      <w:r w:rsidR="00EB301E" w:rsidRPr="00EB301E">
        <w:rPr>
          <w:rFonts w:cs="Times New Roman"/>
          <w:color w:val="auto"/>
        </w:rPr>
        <w:t>His people, a treasured possession</w:t>
      </w:r>
      <w:r w:rsidR="00EB301E">
        <w:rPr>
          <w:rFonts w:cs="Times New Roman"/>
          <w:color w:val="auto"/>
        </w:rPr>
        <w:t xml:space="preserve">” </w:t>
      </w:r>
      <w:r w:rsidR="00EB301E" w:rsidRPr="00550D75">
        <w:rPr>
          <w:rFonts w:cs="Times New Roman"/>
          <w:color w:val="auto"/>
        </w:rPr>
        <w:t>(</w:t>
      </w:r>
      <w:r w:rsidR="00550D75" w:rsidRPr="00550D75">
        <w:rPr>
          <w:rFonts w:cs="Times New Roman"/>
          <w:color w:val="auto"/>
        </w:rPr>
        <w:t>see</w:t>
      </w:r>
      <w:r w:rsidR="00EB301E" w:rsidRPr="00550D75">
        <w:rPr>
          <w:rFonts w:cs="Times New Roman"/>
          <w:color w:val="auto"/>
        </w:rPr>
        <w:t xml:space="preserve"> </w:t>
      </w:r>
      <w:r w:rsidR="00550D75">
        <w:rPr>
          <w:rFonts w:cs="Times New Roman"/>
          <w:color w:val="auto"/>
        </w:rPr>
        <w:t xml:space="preserve">comments on </w:t>
      </w:r>
      <w:r w:rsidR="00EB301E" w:rsidRPr="00550D75">
        <w:rPr>
          <w:rFonts w:cs="Times New Roman"/>
          <w:color w:val="auto"/>
        </w:rPr>
        <w:t>4:20 and 7:6).</w:t>
      </w:r>
      <w:r w:rsidR="00EB301E">
        <w:rPr>
          <w:rFonts w:cs="Times New Roman"/>
          <w:color w:val="auto"/>
        </w:rPr>
        <w:t xml:space="preserve"> </w:t>
      </w:r>
    </w:p>
    <w:p w14:paraId="05C9CE2C" w14:textId="51C5313D" w:rsidR="00DC1CA6" w:rsidRDefault="006F370D" w:rsidP="00A607B9">
      <w:pPr>
        <w:pStyle w:val="Normal-Manual"/>
        <w:numPr>
          <w:ilvl w:val="0"/>
          <w:numId w:val="3"/>
        </w:numPr>
      </w:pPr>
      <w:r>
        <w:t>The logical outcome of all this is that Israel would be a nation obedient to their God.</w:t>
      </w:r>
      <w:r w:rsidR="00EB301E">
        <w:t xml:space="preserve"> They respond to His great love for them in kind. Israel’s obedience is grounded in God’s love and choice of them. </w:t>
      </w:r>
    </w:p>
    <w:p w14:paraId="5FF102C1" w14:textId="798752B8" w:rsidR="00A607B9" w:rsidRPr="00A607B9" w:rsidRDefault="00A607B9" w:rsidP="00A607B9">
      <w:pPr>
        <w:pStyle w:val="Normal-Manual"/>
        <w:numPr>
          <w:ilvl w:val="1"/>
          <w:numId w:val="3"/>
        </w:numPr>
      </w:pPr>
      <w:r>
        <w:rPr>
          <w:rFonts w:cs="Times New Roman"/>
          <w:color w:val="auto"/>
        </w:rPr>
        <w:t>“</w:t>
      </w:r>
      <w:r w:rsidRPr="00E92E87">
        <w:rPr>
          <w:rFonts w:cs="Times New Roman"/>
          <w:color w:val="auto"/>
        </w:rPr>
        <w:t xml:space="preserve">Though Israel, as the people of God, were commanded to observe the laws as delineated in </w:t>
      </w:r>
      <w:proofErr w:type="spellStart"/>
      <w:r w:rsidRPr="00E92E87">
        <w:rPr>
          <w:rFonts w:cs="Times New Roman"/>
          <w:color w:val="auto"/>
        </w:rPr>
        <w:t>Deut</w:t>
      </w:r>
      <w:proofErr w:type="spellEnd"/>
      <w:r w:rsidRPr="00E92E87">
        <w:rPr>
          <w:rFonts w:cs="Times New Roman"/>
          <w:color w:val="auto"/>
        </w:rPr>
        <w:t xml:space="preserve"> 12–26, the matter of greatest importance is their attitude. That they were chosen as YHWH’s “treasured people” is not a basis for pride. The privilege carries a heavy responsibility. If their obedience to God’s laws comes from the heart, then God will exalt them in such a manner that they become a source of praise and honor among the nations.</w:t>
      </w:r>
      <w:r>
        <w:rPr>
          <w:rFonts w:cs="Times New Roman"/>
          <w:color w:val="auto"/>
        </w:rPr>
        <w:t>”</w:t>
      </w:r>
      <w:r w:rsidRPr="00E92E87">
        <w:rPr>
          <w:rFonts w:cs="Times New Roman"/>
          <w:color w:val="auto"/>
          <w:vertAlign w:val="superscript"/>
        </w:rPr>
        <w:footnoteReference w:id="37"/>
      </w:r>
    </w:p>
    <w:p w14:paraId="577D4598" w14:textId="63D43A6E" w:rsidR="00A607B9" w:rsidRDefault="00A607B9" w:rsidP="00A607B9">
      <w:pPr>
        <w:pStyle w:val="Normal-Manual"/>
        <w:numPr>
          <w:ilvl w:val="0"/>
          <w:numId w:val="3"/>
        </w:numPr>
      </w:pPr>
      <w:r>
        <w:t>Where verse 18 spoke of a past promise, verse 19 speaks of a future promise.</w:t>
      </w:r>
      <w:r w:rsidR="00667240">
        <w:t xml:space="preserve"> If Israel is obedient to the Law, God will make them into a beacon of His glory. “</w:t>
      </w:r>
      <w:r w:rsidR="00667240" w:rsidRPr="00667240">
        <w:rPr>
          <w:rFonts w:cs="Times New Roman"/>
          <w:color w:val="auto"/>
        </w:rPr>
        <w:t xml:space="preserve">This is in line with the </w:t>
      </w:r>
      <w:r w:rsidR="00667240" w:rsidRPr="00667240">
        <w:rPr>
          <w:rFonts w:cs="Times New Roman"/>
          <w:color w:val="auto"/>
        </w:rPr>
        <w:lastRenderedPageBreak/>
        <w:t>perspective of Deuteronomy that Israel is to be a kind of demonstration to the world of what Yahweh has done for his people.</w:t>
      </w:r>
      <w:r w:rsidR="00667240">
        <w:rPr>
          <w:rFonts w:cs="Times New Roman"/>
          <w:color w:val="auto"/>
        </w:rPr>
        <w:t>”</w:t>
      </w:r>
      <w:r w:rsidR="00667240" w:rsidRPr="00667240">
        <w:rPr>
          <w:rFonts w:cs="Times New Roman"/>
          <w:color w:val="auto"/>
          <w:vertAlign w:val="superscript"/>
        </w:rPr>
        <w:footnoteReference w:id="38"/>
      </w:r>
    </w:p>
    <w:p w14:paraId="3808E168" w14:textId="77777777" w:rsidR="00A607B9" w:rsidRDefault="00DC1CA6" w:rsidP="00E92E87">
      <w:pPr>
        <w:pStyle w:val="Normal-Manual"/>
        <w:numPr>
          <w:ilvl w:val="1"/>
          <w:numId w:val="3"/>
        </w:numPr>
      </w:pPr>
      <w:r>
        <w:rPr>
          <w:rFonts w:cs="Times New Roman"/>
          <w:color w:val="auto"/>
        </w:rPr>
        <w:t>“</w:t>
      </w:r>
      <w:r w:rsidRPr="00DC1CA6">
        <w:rPr>
          <w:rFonts w:cs="Times New Roman"/>
          <w:color w:val="auto"/>
        </w:rPr>
        <w:t xml:space="preserve">The words of ratification of the Moab covenant (16–19) round off the legal section of Deuteronomy on a high note, returning to the theology of Israel’s election. They reach back past </w:t>
      </w:r>
      <w:proofErr w:type="spellStart"/>
      <w:r w:rsidRPr="00DC1CA6">
        <w:rPr>
          <w:rFonts w:cs="Times New Roman"/>
          <w:color w:val="auto"/>
        </w:rPr>
        <w:t>ch.</w:t>
      </w:r>
      <w:proofErr w:type="spellEnd"/>
      <w:r w:rsidRPr="00DC1CA6">
        <w:rPr>
          <w:rFonts w:cs="Times New Roman"/>
          <w:color w:val="auto"/>
        </w:rPr>
        <w:t xml:space="preserve"> 12 to the primary exposition of </w:t>
      </w:r>
      <w:r w:rsidRPr="000B69E4">
        <w:rPr>
          <w:rFonts w:cs="Times New Roman"/>
          <w:noProof/>
          <w:color w:val="auto"/>
        </w:rPr>
        <w:t>election</w:t>
      </w:r>
      <w:r w:rsidRPr="00DC1CA6">
        <w:rPr>
          <w:rFonts w:cs="Times New Roman"/>
          <w:color w:val="auto"/>
        </w:rPr>
        <w:t xml:space="preserve"> in 7:6–11. Israel is Yahweh’s ‘treasured possession’ (cf. 7:6). But there is enhancement here, for </w:t>
      </w:r>
      <w:r w:rsidRPr="000B69E4">
        <w:rPr>
          <w:rFonts w:cs="Times New Roman"/>
          <w:noProof/>
          <w:color w:val="auto"/>
        </w:rPr>
        <w:t>now</w:t>
      </w:r>
      <w:r w:rsidRPr="00DC1CA6">
        <w:rPr>
          <w:rFonts w:cs="Times New Roman"/>
          <w:color w:val="auto"/>
        </w:rPr>
        <w:t xml:space="preserve"> they are not merely chosen ‘out of all the people on earth’, but they are to be set ‘high above all nations that he has made, for praise and fame and </w:t>
      </w:r>
      <w:r w:rsidRPr="000B69E4">
        <w:rPr>
          <w:rFonts w:cs="Times New Roman"/>
          <w:noProof/>
          <w:color w:val="auto"/>
        </w:rPr>
        <w:t>honour</w:t>
      </w:r>
      <w:r w:rsidRPr="00DC1CA6">
        <w:rPr>
          <w:rFonts w:cs="Times New Roman"/>
          <w:color w:val="auto"/>
        </w:rPr>
        <w:t xml:space="preserve">’ (cf. 28:1). In 10:21 it was said that ‘Yahweh is your praise’, meaning that it was he who made Israel worthy of praise among the nations (cf. the thought in 4:6–8). The reversal here has the same effect: Israel will be </w:t>
      </w:r>
      <w:r w:rsidRPr="000B69E4">
        <w:rPr>
          <w:rFonts w:cs="Times New Roman"/>
          <w:noProof/>
          <w:color w:val="auto"/>
        </w:rPr>
        <w:t>honoured</w:t>
      </w:r>
      <w:r w:rsidRPr="00DC1CA6">
        <w:rPr>
          <w:rFonts w:cs="Times New Roman"/>
          <w:color w:val="auto"/>
        </w:rPr>
        <w:t xml:space="preserve"> among the nations. The same threefold expression (‘praise and fame and </w:t>
      </w:r>
      <w:r w:rsidRPr="000B69E4">
        <w:rPr>
          <w:rFonts w:cs="Times New Roman"/>
          <w:noProof/>
          <w:color w:val="auto"/>
        </w:rPr>
        <w:t>honour</w:t>
      </w:r>
      <w:r w:rsidRPr="00DC1CA6">
        <w:rPr>
          <w:rFonts w:cs="Times New Roman"/>
          <w:color w:val="auto"/>
        </w:rPr>
        <w:t xml:space="preserve">’) is found also in Jer. 13:11; 33:9 (cf. Zeph. 3:19–20), where it means that Israel should bring </w:t>
      </w:r>
      <w:r w:rsidRPr="000B69E4">
        <w:rPr>
          <w:rFonts w:cs="Times New Roman"/>
          <w:noProof/>
          <w:color w:val="auto"/>
        </w:rPr>
        <w:t>honour</w:t>
      </w:r>
      <w:r w:rsidRPr="00DC1CA6">
        <w:rPr>
          <w:rFonts w:cs="Times New Roman"/>
          <w:color w:val="auto"/>
        </w:rPr>
        <w:t xml:space="preserve"> to Yahweh among the nations.</w:t>
      </w:r>
      <w:r>
        <w:rPr>
          <w:rFonts w:cs="Times New Roman"/>
          <w:color w:val="auto"/>
        </w:rPr>
        <w:t>”</w:t>
      </w:r>
      <w:r w:rsidRPr="00DC1CA6">
        <w:rPr>
          <w:rFonts w:cs="Times New Roman"/>
          <w:color w:val="auto"/>
          <w:vertAlign w:val="superscript"/>
        </w:rPr>
        <w:footnoteReference w:id="39"/>
      </w:r>
    </w:p>
    <w:p w14:paraId="3942C201" w14:textId="6AA95FDC" w:rsidR="00E92E87" w:rsidRPr="0003121C" w:rsidRDefault="000D319C" w:rsidP="00E92E87">
      <w:pPr>
        <w:pStyle w:val="Normal-Manual"/>
        <w:numPr>
          <w:ilvl w:val="1"/>
          <w:numId w:val="3"/>
        </w:numPr>
      </w:pPr>
      <w:r w:rsidRPr="00A607B9">
        <w:rPr>
          <w:rFonts w:cs="Times New Roman"/>
          <w:color w:val="auto"/>
        </w:rPr>
        <w:t>“</w:t>
      </w:r>
      <w:r w:rsidR="00E92E87" w:rsidRPr="00A607B9">
        <w:rPr>
          <w:rFonts w:cs="Times New Roman"/>
          <w:color w:val="auto"/>
        </w:rPr>
        <w:t xml:space="preserve">The object of that praise is not the people of Israel; it is God himself…It is not our honor that is spoken of here, but his… God chose Israel to be a special people </w:t>
      </w:r>
      <w:proofErr w:type="gramStart"/>
      <w:r w:rsidR="00E92E87" w:rsidRPr="00A607B9">
        <w:rPr>
          <w:rFonts w:cs="Times New Roman"/>
          <w:color w:val="auto"/>
        </w:rPr>
        <w:t>on the basis of</w:t>
      </w:r>
      <w:proofErr w:type="gramEnd"/>
      <w:r w:rsidR="00E92E87" w:rsidRPr="00A607B9">
        <w:rPr>
          <w:rFonts w:cs="Times New Roman"/>
          <w:color w:val="auto"/>
        </w:rPr>
        <w:t xml:space="preserve"> his own </w:t>
      </w:r>
      <w:r w:rsidR="00E92E87" w:rsidRPr="000B69E4">
        <w:rPr>
          <w:rFonts w:cs="Times New Roman"/>
          <w:noProof/>
          <w:color w:val="auto"/>
        </w:rPr>
        <w:t>lovingkindness</w:t>
      </w:r>
      <w:r w:rsidR="00E92E87" w:rsidRPr="00A607B9">
        <w:rPr>
          <w:rFonts w:cs="Times New Roman"/>
          <w:color w:val="auto"/>
        </w:rPr>
        <w:t>—it is a matter of God’s grace, and God’s grace alone. It is our heartfelt response to God’s love and commitment to us as his “treasured possession” that he desires of us by means of obedience to his commands. That is what will bring forth his praise and honor among the nations.</w:t>
      </w:r>
      <w:r w:rsidRPr="00A607B9">
        <w:rPr>
          <w:rFonts w:cs="Times New Roman"/>
          <w:color w:val="auto"/>
        </w:rPr>
        <w:t>”</w:t>
      </w:r>
      <w:r w:rsidR="00E92E87" w:rsidRPr="00E92E87">
        <w:rPr>
          <w:rFonts w:cs="Times New Roman"/>
          <w:color w:val="auto"/>
          <w:vertAlign w:val="superscript"/>
        </w:rPr>
        <w:footnoteReference w:id="40"/>
      </w:r>
    </w:p>
    <w:p w14:paraId="7ECF69F6" w14:textId="0C1AE38F" w:rsidR="0003121C" w:rsidRPr="00F11B4D" w:rsidRDefault="0003121C" w:rsidP="0003121C">
      <w:pPr>
        <w:pStyle w:val="Normal-Manual"/>
        <w:numPr>
          <w:ilvl w:val="0"/>
          <w:numId w:val="3"/>
        </w:numPr>
      </w:pPr>
      <w:r>
        <w:rPr>
          <w:rFonts w:cs="Times New Roman"/>
          <w:color w:val="auto"/>
        </w:rPr>
        <w:t xml:space="preserve">This has </w:t>
      </w:r>
      <w:r w:rsidR="00667240">
        <w:rPr>
          <w:rFonts w:cs="Times New Roman"/>
          <w:color w:val="auto"/>
        </w:rPr>
        <w:t xml:space="preserve">been </w:t>
      </w:r>
      <w:r>
        <w:rPr>
          <w:rFonts w:cs="Times New Roman"/>
          <w:color w:val="auto"/>
        </w:rPr>
        <w:t>the mission of the nation</w:t>
      </w:r>
      <w:r w:rsidR="00667240">
        <w:rPr>
          <w:rFonts w:cs="Times New Roman"/>
          <w:color w:val="auto"/>
        </w:rPr>
        <w:t xml:space="preserve"> from when it was first given the law at Sinai (Ex 19:6). It is through </w:t>
      </w:r>
      <w:r w:rsidR="00667240" w:rsidRPr="000B69E4">
        <w:rPr>
          <w:rFonts w:cs="Times New Roman"/>
          <w:noProof/>
          <w:color w:val="auto"/>
        </w:rPr>
        <w:t>obedience</w:t>
      </w:r>
      <w:r w:rsidR="00667240">
        <w:rPr>
          <w:rFonts w:cs="Times New Roman"/>
          <w:color w:val="auto"/>
        </w:rPr>
        <w:t xml:space="preserve"> to the covenants that the nations will come to know God. God’s glory is spread through His </w:t>
      </w:r>
      <w:r w:rsidR="00667240" w:rsidRPr="000B69E4">
        <w:rPr>
          <w:rFonts w:cs="Times New Roman"/>
          <w:noProof/>
          <w:color w:val="auto"/>
        </w:rPr>
        <w:t>people</w:t>
      </w:r>
      <w:r w:rsidR="000B69E4">
        <w:rPr>
          <w:rFonts w:cs="Times New Roman"/>
          <w:noProof/>
          <w:color w:val="auto"/>
        </w:rPr>
        <w:t>'</w:t>
      </w:r>
      <w:r w:rsidR="00667240" w:rsidRPr="000B69E4">
        <w:rPr>
          <w:rFonts w:cs="Times New Roman"/>
          <w:noProof/>
          <w:color w:val="auto"/>
        </w:rPr>
        <w:t>s</w:t>
      </w:r>
      <w:r w:rsidR="00667240">
        <w:rPr>
          <w:rFonts w:cs="Times New Roman"/>
          <w:color w:val="auto"/>
        </w:rPr>
        <w:t xml:space="preserve"> law keeping</w:t>
      </w:r>
      <w:r w:rsidR="00560C18">
        <w:rPr>
          <w:rFonts w:cs="Times New Roman"/>
          <w:color w:val="auto"/>
        </w:rPr>
        <w:t>,</w:t>
      </w:r>
      <w:r w:rsidR="00667240">
        <w:rPr>
          <w:rFonts w:cs="Times New Roman"/>
          <w:color w:val="auto"/>
        </w:rPr>
        <w:t xml:space="preserve"> for as the world sees the people of God live in obedience, they see God</w:t>
      </w:r>
      <w:r w:rsidR="00560C18">
        <w:rPr>
          <w:rFonts w:cs="Times New Roman"/>
          <w:color w:val="auto"/>
        </w:rPr>
        <w:t>,</w:t>
      </w:r>
      <w:r w:rsidR="00667240">
        <w:rPr>
          <w:rFonts w:cs="Times New Roman"/>
          <w:color w:val="auto"/>
        </w:rPr>
        <w:t xml:space="preserve"> whom the people obey (cf. </w:t>
      </w:r>
      <w:proofErr w:type="spellStart"/>
      <w:r w:rsidR="00667240">
        <w:rPr>
          <w:rFonts w:cs="Times New Roman"/>
          <w:color w:val="auto"/>
        </w:rPr>
        <w:t>Deut</w:t>
      </w:r>
      <w:proofErr w:type="spellEnd"/>
      <w:r w:rsidR="00667240">
        <w:rPr>
          <w:rFonts w:cs="Times New Roman"/>
          <w:color w:val="auto"/>
        </w:rPr>
        <w:t xml:space="preserve"> 4:6-8). </w:t>
      </w:r>
    </w:p>
    <w:sectPr w:rsidR="0003121C" w:rsidRPr="00F11B4D">
      <w:footerReference w:type="default" r:id="rId7"/>
      <w:pgSz w:w="12240" w:h="15840"/>
      <w:pgMar w:top="1008" w:right="1440" w:bottom="1008"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28D5A" w14:textId="77777777" w:rsidR="009F1A4A" w:rsidRDefault="009F1A4A">
      <w:r>
        <w:separator/>
      </w:r>
    </w:p>
  </w:endnote>
  <w:endnote w:type="continuationSeparator" w:id="0">
    <w:p w14:paraId="39E14987" w14:textId="77777777" w:rsidR="009F1A4A" w:rsidRDefault="009F1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ACE60" w14:textId="77777777" w:rsidR="00EB301E" w:rsidRPr="009C22D1" w:rsidRDefault="00EB301E">
    <w:pPr>
      <w:pStyle w:val="Footer"/>
      <w:tabs>
        <w:tab w:val="clear" w:pos="4320"/>
        <w:tab w:val="clear" w:pos="8640"/>
        <w:tab w:val="right" w:pos="9340"/>
      </w:tabs>
      <w:rPr>
        <w:rFonts w:cs="Times New Roman"/>
        <w:b/>
        <w:bCs/>
        <w:sz w:val="18"/>
        <w:szCs w:val="18"/>
      </w:rPr>
    </w:pPr>
  </w:p>
  <w:p w14:paraId="43CC13D7" w14:textId="77777777" w:rsidR="00EB301E" w:rsidRPr="009C22D1" w:rsidRDefault="00EB301E">
    <w:pPr>
      <w:pStyle w:val="Footer"/>
      <w:tabs>
        <w:tab w:val="clear" w:pos="4320"/>
        <w:tab w:val="clear" w:pos="8640"/>
        <w:tab w:val="right" w:pos="9340"/>
      </w:tabs>
      <w:rPr>
        <w:rFonts w:cs="Times New Roman"/>
      </w:rPr>
    </w:pPr>
    <w:r w:rsidRPr="009C22D1">
      <w:rPr>
        <w:rFonts w:cs="Times New Roman"/>
        <w:b/>
        <w:bCs/>
        <w:sz w:val="18"/>
        <w:szCs w:val="18"/>
      </w:rPr>
      <w:t>Deuteronomy Commentary</w:t>
    </w:r>
    <w:r w:rsidRPr="009C22D1">
      <w:rPr>
        <w:rFonts w:cs="Times New Roman"/>
        <w:b/>
        <w:bCs/>
        <w:sz w:val="18"/>
        <w:szCs w:val="18"/>
      </w:rPr>
      <w:tab/>
    </w:r>
    <w:r w:rsidRPr="009C22D1">
      <w:rPr>
        <w:rFonts w:eastAsia="Tahoma" w:cs="Times New Roman"/>
        <w:b/>
        <w:bCs/>
        <w:sz w:val="18"/>
        <w:szCs w:val="18"/>
      </w:rPr>
      <w:fldChar w:fldCharType="begin"/>
    </w:r>
    <w:r w:rsidRPr="009C22D1">
      <w:rPr>
        <w:rFonts w:eastAsia="Tahoma" w:cs="Times New Roman"/>
        <w:b/>
        <w:bCs/>
        <w:sz w:val="18"/>
        <w:szCs w:val="18"/>
      </w:rPr>
      <w:instrText xml:space="preserve"> PAGE </w:instrText>
    </w:r>
    <w:r w:rsidRPr="009C22D1">
      <w:rPr>
        <w:rFonts w:eastAsia="Tahoma" w:cs="Times New Roman"/>
        <w:b/>
        <w:bCs/>
        <w:sz w:val="18"/>
        <w:szCs w:val="18"/>
      </w:rPr>
      <w:fldChar w:fldCharType="separate"/>
    </w:r>
    <w:r w:rsidRPr="009C22D1">
      <w:rPr>
        <w:rFonts w:eastAsia="Tahoma" w:cs="Times New Roman"/>
        <w:b/>
        <w:bCs/>
        <w:sz w:val="18"/>
        <w:szCs w:val="18"/>
      </w:rPr>
      <w:t>13</w:t>
    </w:r>
    <w:r w:rsidRPr="009C22D1">
      <w:rPr>
        <w:rFonts w:eastAsia="Tahoma"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FBEE7" w14:textId="77777777" w:rsidR="009F1A4A" w:rsidRDefault="009F1A4A">
      <w:r>
        <w:separator/>
      </w:r>
    </w:p>
  </w:footnote>
  <w:footnote w:type="continuationSeparator" w:id="0">
    <w:p w14:paraId="0622557C" w14:textId="77777777" w:rsidR="009F1A4A" w:rsidRDefault="009F1A4A">
      <w:r>
        <w:continuationSeparator/>
      </w:r>
    </w:p>
  </w:footnote>
  <w:footnote w:type="continuationNotice" w:id="1">
    <w:p w14:paraId="30C9957F" w14:textId="77777777" w:rsidR="009F1A4A" w:rsidRDefault="009F1A4A"/>
  </w:footnote>
  <w:footnote w:id="2">
    <w:p w14:paraId="65CF13A5" w14:textId="77777777" w:rsidR="00EB301E" w:rsidRPr="00550D75" w:rsidRDefault="00EB301E" w:rsidP="002A2C7A">
      <w:pPr>
        <w:rPr>
          <w:sz w:val="20"/>
          <w:szCs w:val="20"/>
        </w:rPr>
      </w:pPr>
      <w:r w:rsidRPr="00550D75">
        <w:rPr>
          <w:sz w:val="20"/>
          <w:szCs w:val="20"/>
          <w:vertAlign w:val="superscript"/>
        </w:rPr>
        <w:footnoteRef/>
      </w:r>
      <w:r w:rsidRPr="00550D75">
        <w:rPr>
          <w:sz w:val="20"/>
          <w:szCs w:val="20"/>
        </w:rPr>
        <w:t xml:space="preserve"> Eugene H. Merrill, </w:t>
      </w:r>
      <w:r w:rsidRPr="00550D75">
        <w:rPr>
          <w:i/>
          <w:sz w:val="20"/>
          <w:szCs w:val="20"/>
        </w:rPr>
        <w:t>Deuteronomy</w:t>
      </w:r>
      <w:r w:rsidRPr="00550D75">
        <w:rPr>
          <w:sz w:val="20"/>
          <w:szCs w:val="20"/>
        </w:rPr>
        <w:t>, vol. 4, The New American Commentary (Nashville: Broadman &amp; Holman Publishers, 1994), 335.</w:t>
      </w:r>
    </w:p>
  </w:footnote>
  <w:footnote w:id="3">
    <w:p w14:paraId="4A164437" w14:textId="56CE1868" w:rsidR="00EB301E" w:rsidRPr="00550D75" w:rsidRDefault="00EB301E">
      <w:pPr>
        <w:pStyle w:val="FootnoteText"/>
      </w:pPr>
      <w:r w:rsidRPr="00550D75">
        <w:rPr>
          <w:rStyle w:val="FootnoteReference"/>
        </w:rPr>
        <w:footnoteRef/>
      </w:r>
      <w:r w:rsidRPr="00550D75">
        <w:t xml:space="preserve"> </w:t>
      </w:r>
      <w:r w:rsidRPr="00550D75">
        <w:fldChar w:fldCharType="begin"/>
      </w:r>
      <w:r w:rsidRPr="00550D75">
        <w:instrText xml:space="preserve"> ADDIN ZOTERO_ITEM CSL_CITATION {"citationID":"09UJeB6O","properties":{"formattedCitation":"J. G. McConville, {\\i{}Deuteronomy}, ed. David W. Baker and Gordon J. Wenham, vol. 5, Apollos Old Testament Commentary (Leicester, England; Downers Grove, IL: InterVarsity Press, 2002), 376.","plainCitation":"J. G. McConville, Deuteronomy, ed. David W. Baker and Gordon J. Wenham, vol. 5, Apollos Old Testament Commentary (Leicester, England; Downers Grove, IL: InterVarsity Press, 2002), 376.","noteIndex":2},"citationItems":[{"id":608,"uris":["http://zotero.org/users/412201/items/284HKHBY"],"uri":["http://zotero.org/users/412201/items/284HKHBY"],"itemData":{"id":608,"type":"book","title":"Deuteronomy","collection-title":"Apollos Old Testament Commentary","publisher":"InterVarsity Press","publisher-place":"Leicester, England; Downers Grove, IL","volume":"5","event-place":"Leicester, England; Downers Grove, IL","author":[{"family":"McConville","given":"J. G."}],"editor":[{"family":"Baker","given":"David W."},{"family":"Wenham","given":"Gordon J."}],"issued":{"date-parts":[["2002"]]}},"locator":"376"}],"schema":"https://github.com/citation-style-language/schema/raw/master/csl-citation.json"} </w:instrText>
      </w:r>
      <w:r w:rsidRPr="00550D75">
        <w:fldChar w:fldCharType="separate"/>
      </w:r>
      <w:r w:rsidRPr="00550D75">
        <w:t xml:space="preserve">J. G. McConville, </w:t>
      </w:r>
      <w:r w:rsidRPr="00550D75">
        <w:rPr>
          <w:i/>
          <w:iCs/>
        </w:rPr>
        <w:t>Deuteronomy</w:t>
      </w:r>
      <w:r w:rsidRPr="00550D75">
        <w:t>, ed. David W. Baker and Gordon J. Wenham, vol. 5, Apollos Old Testament Commentary (Leicester, England; Downers Grove, IL: InterVarsity Press, 2002), 376.</w:t>
      </w:r>
      <w:r w:rsidRPr="00550D75">
        <w:fldChar w:fldCharType="end"/>
      </w:r>
    </w:p>
  </w:footnote>
  <w:footnote w:id="4">
    <w:p w14:paraId="58112C8C" w14:textId="77777777" w:rsidR="00EB301E" w:rsidRPr="00550D75" w:rsidRDefault="00EB301E" w:rsidP="008273AB">
      <w:pPr>
        <w:rPr>
          <w:sz w:val="20"/>
          <w:szCs w:val="20"/>
        </w:rPr>
      </w:pPr>
      <w:r w:rsidRPr="00550D75">
        <w:rPr>
          <w:sz w:val="20"/>
          <w:szCs w:val="20"/>
          <w:vertAlign w:val="superscript"/>
        </w:rPr>
        <w:footnoteRef/>
      </w:r>
      <w:r w:rsidRPr="00550D75">
        <w:rPr>
          <w:sz w:val="20"/>
          <w:szCs w:val="20"/>
        </w:rPr>
        <w:t xml:space="preserve"> Eugene H. Merrill, </w:t>
      </w:r>
      <w:r w:rsidRPr="00550D75">
        <w:rPr>
          <w:i/>
          <w:sz w:val="20"/>
          <w:szCs w:val="20"/>
        </w:rPr>
        <w:t>Deuteronomy</w:t>
      </w:r>
      <w:r w:rsidRPr="00550D75">
        <w:rPr>
          <w:sz w:val="20"/>
          <w:szCs w:val="20"/>
        </w:rPr>
        <w:t>, vol. 4, The New American Commentary (Nashville: Broadman &amp; Holman Publishers, 1994), 331.</w:t>
      </w:r>
    </w:p>
  </w:footnote>
  <w:footnote w:id="5">
    <w:p w14:paraId="1CCA9566" w14:textId="1582050C"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{"citationID":"9o7Rxb5d","properties":{"formattedCitation":"Michael A. Grisanti, {\\i{}Deuteronomy}, ed. Tremper Longman III and David E. Garland, Kindle ed., The Expositor\\uc0\\u8217{}s Bible Commentary (Grand Rapids: Zondervan, 2012), Loc 8538.","plainCitation":"Michael A. Grisanti, Deuteronomy, ed. Tremper Longman III and David E. Garland, Kindle ed., The Expositor’s Bible Commentary (Grand Rapids: Zondervan, 2012), Loc 8538.","noteIndex":4},"citationItems":[{"id":610,"uris":["http://zotero.org/users/412201/items/XX2CPDUZ"],"uri":["http://zotero.org/users/412201/items/XX2CPDUZ"],"itemData":{"id":610,"type":"book","title":"Deuteronomy","collection-title":"The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8538"}],"schema":"https://github.com/citation-style-language/schema/raw/master/csl-citation.json"} </w:instrText>
      </w:r>
      <w:r w:rsidRPr="00550D75">
        <w:fldChar w:fldCharType="separate"/>
      </w:r>
      <w:r w:rsidR="009C22D1" w:rsidRPr="009C22D1">
        <w:rPr>
          <w:szCs w:val="24"/>
        </w:rPr>
        <w:t xml:space="preserve">Michael A. </w:t>
      </w:r>
      <w:proofErr w:type="spellStart"/>
      <w:r w:rsidR="009C22D1" w:rsidRPr="009C22D1">
        <w:rPr>
          <w:szCs w:val="24"/>
        </w:rPr>
        <w:t>Grisanti</w:t>
      </w:r>
      <w:proofErr w:type="spellEnd"/>
      <w:r w:rsidR="009C22D1" w:rsidRPr="009C22D1">
        <w:rPr>
          <w:szCs w:val="24"/>
        </w:rPr>
        <w:t xml:space="preserve">, </w:t>
      </w:r>
      <w:r w:rsidR="009C22D1" w:rsidRPr="009C22D1">
        <w:rPr>
          <w:i/>
          <w:iCs/>
          <w:szCs w:val="24"/>
        </w:rPr>
        <w:t>Deuteronomy</w:t>
      </w:r>
      <w:r w:rsidR="009C22D1" w:rsidRPr="009C22D1">
        <w:rPr>
          <w:szCs w:val="24"/>
        </w:rPr>
        <w:t>, ed. Tremper Longman III and David E. Garland, Kindle ed., The Expositor’s Bible Commentary (Grand Rapids: Zondervan, 2012), Loc 8538.</w:t>
      </w:r>
      <w:r w:rsidRPr="00550D75">
        <w:fldChar w:fldCharType="end"/>
      </w:r>
    </w:p>
  </w:footnote>
  <w:footnote w:id="6">
    <w:p w14:paraId="459FE367" w14:textId="77777777" w:rsidR="00EB301E" w:rsidRPr="00550D75" w:rsidRDefault="00EB301E" w:rsidP="002A2C7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377.</w:t>
      </w:r>
    </w:p>
  </w:footnote>
  <w:footnote w:id="7">
    <w:p w14:paraId="040EC35A" w14:textId="77777777" w:rsidR="00EB301E" w:rsidRPr="00550D75" w:rsidRDefault="00EB301E" w:rsidP="00B54156">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636.</w:t>
      </w:r>
    </w:p>
  </w:footnote>
  <w:footnote w:id="8">
    <w:p w14:paraId="1D909E27" w14:textId="77777777" w:rsidR="00EB301E" w:rsidRPr="00550D75" w:rsidRDefault="00EB301E" w:rsidP="00366FE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378.</w:t>
      </w:r>
    </w:p>
  </w:footnote>
  <w:footnote w:id="9">
    <w:p w14:paraId="32277C3C" w14:textId="77777777" w:rsidR="00EB301E" w:rsidRPr="00550D75" w:rsidRDefault="00EB301E" w:rsidP="00366FE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378.</w:t>
      </w:r>
    </w:p>
  </w:footnote>
  <w:footnote w:id="10">
    <w:p w14:paraId="08B67FD6" w14:textId="092FEEE7"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{"citationID":"MxP2docL","properties":{"formattedCitation":"Grisanti, {\\i{}Deuteronomy}, Loc 8549.","plainCitation":"Grisanti, Deuteronomy, Loc 8549.","noteIndex":9},"citationItems":[{"id":610,"uris":["http://zotero.org/users/412201/items/XX2CPDUZ"],"uri":["http://zotero.org/users/412201/items/XX2CPDUZ"],"itemData":{"id":610,"type":"book","title":"Deuteronomy","collection-title":"The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8549"}],"schema":"https://github.com/citation-style-language/schema/raw/master/csl-citation.json"}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8549.</w:t>
      </w:r>
      <w:r w:rsidRPr="00550D75">
        <w:fldChar w:fldCharType="end"/>
      </w:r>
    </w:p>
  </w:footnote>
  <w:footnote w:id="11">
    <w:p w14:paraId="70330837" w14:textId="77777777" w:rsidR="00EB301E" w:rsidRPr="00550D75" w:rsidRDefault="00EB301E" w:rsidP="007478F1">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637.</w:t>
      </w:r>
    </w:p>
  </w:footnote>
  <w:footnote w:id="12">
    <w:p w14:paraId="0747CDC8" w14:textId="55B3623C" w:rsidR="00D47ADD" w:rsidRPr="00550D75" w:rsidRDefault="00D47ADD">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{"citationID":"yY5wp4Kj","properties":{"formattedCitation":"Grisanti, {\\i{}Deuteronomy}, Loc 8558.","plainCitation":"Grisanti, Deuteronomy, Loc 8558.","noteIndex":11},"citationItems":[{"id":610,"uris":["http://zotero.org/users/412201/items/XX2CPDUZ"],"uri":["http://zotero.org/users/412201/items/XX2CPDUZ"],"itemData":{"id":610,"type":"book","title":"Deuteronomy","collection-title":"The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8558"}],"schema":"https://github.com/citation-style-language/schema/raw/master/csl-citation.json"}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8558.</w:t>
      </w:r>
      <w:r w:rsidRPr="00550D75">
        <w:fldChar w:fldCharType="end"/>
      </w:r>
    </w:p>
  </w:footnote>
  <w:footnote w:id="13">
    <w:p w14:paraId="7B80AA2C" w14:textId="5E0C30DD" w:rsidR="00EB301E" w:rsidRPr="00550D75" w:rsidRDefault="00EB301E">
      <w:pPr>
        <w:pStyle w:val="FootnoteText"/>
      </w:pPr>
      <w:bookmarkStart w:id="0" w:name="_GoBack"/>
      <w:bookmarkEnd w:id="0"/>
      <w:r w:rsidRPr="00550D75">
        <w:rPr>
          <w:rStyle w:val="FootnoteReference"/>
        </w:rPr>
        <w:footnoteRef/>
      </w:r>
      <w:r w:rsidRPr="00550D75">
        <w:t xml:space="preserve"> </w:t>
      </w:r>
      <w:r w:rsidRPr="00550D75">
        <w:fldChar w:fldCharType="begin"/>
      </w:r>
      <w:r w:rsidR="009C22D1">
        <w:instrText xml:space="preserve"> ADDIN ZOTERO_ITEM CSL_CITATION {"citationID":"k0wDIOYr","properties":{"formattedCitation":"Ibid.","plainCitation":"Ibid.","noteIndex":12},"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8558"}],"schema":"https://github.com/citation-style-language/schema/raw/master/csl-citation.json"} </w:instrText>
      </w:r>
      <w:r w:rsidRPr="00550D75">
        <w:fldChar w:fldCharType="separate"/>
      </w:r>
      <w:r w:rsidR="00D47ADD" w:rsidRPr="00550D75">
        <w:t>Ibid.</w:t>
      </w:r>
      <w:r w:rsidRPr="00550D75">
        <w:fldChar w:fldCharType="end"/>
      </w:r>
    </w:p>
  </w:footnote>
  <w:footnote w:id="14">
    <w:p w14:paraId="1DEEC6E1" w14:textId="77777777" w:rsidR="00EB301E" w:rsidRPr="00550D75" w:rsidRDefault="00EB301E" w:rsidP="00BB02C0">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637.</w:t>
      </w:r>
    </w:p>
  </w:footnote>
  <w:footnote w:id="15">
    <w:p w14:paraId="141FDD2C" w14:textId="77777777" w:rsidR="00EB301E" w:rsidRPr="00550D75" w:rsidRDefault="00EB301E" w:rsidP="005A0FB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380.</w:t>
      </w:r>
    </w:p>
  </w:footnote>
  <w:footnote w:id="16">
    <w:p w14:paraId="683FCF2A" w14:textId="77777777" w:rsidR="00EB301E" w:rsidRPr="00550D75" w:rsidRDefault="00EB301E" w:rsidP="005A0FB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380.</w:t>
      </w:r>
    </w:p>
  </w:footnote>
  <w:footnote w:id="17">
    <w:p w14:paraId="3EA52862" w14:textId="0AE0D51C"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{"citationID":"dbad5L5X","properties":{"formattedCitation":"Grisanti, {\\i{}Deuteronomy}, Loc 8574.","plainCitation":"Grisanti, Deuteronomy, Loc 8574.","noteIndex":16},"citationItems":[{"id":610,"uris":["http://zotero.org/users/412201/items/XX2CPDUZ"],"uri":["http://zotero.org/users/412201/items/XX2CPDUZ"],"itemData":{"id":610,"type":"book","title":"Deuteronomy","collection-title":"The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8574"}],"schema":"https://github.com/citation-style-language/schema/raw/master/csl-citation.json"}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8574.</w:t>
      </w:r>
      <w:r w:rsidRPr="00550D75">
        <w:fldChar w:fldCharType="end"/>
      </w:r>
    </w:p>
  </w:footnote>
  <w:footnote w:id="18">
    <w:p w14:paraId="2CD0370C" w14:textId="77777777" w:rsidR="00EB301E" w:rsidRPr="00550D75" w:rsidRDefault="00EB301E" w:rsidP="005A0FB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380.</w:t>
      </w:r>
    </w:p>
  </w:footnote>
  <w:footnote w:id="19">
    <w:p w14:paraId="28DFBEE7" w14:textId="5B3EB5AE" w:rsidR="00EB301E" w:rsidRPr="00550D75" w:rsidRDefault="00EB301E" w:rsidP="009C4EDB">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{"citationID":"2ObRFXhb","properties":{"formattedCitation":"Grisanti, {\\i{}Deuteronomy}, Loc 8632.","plainCitation":"Grisanti, Deuteronomy, Loc 8632.","noteIndex":18},"citationItems":[{"id":610,"uris":["http://zotero.org/users/412201/items/XX2CPDUZ"],"uri":["http://zotero.org/users/412201/items/XX2CPDUZ"],"itemData":{"id":610,"type":"book","title":"Deuteronomy","collection-title":"The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8632"}],"schema":"https://github.com/citation-style-language/schema/raw/master/csl-citation.json"}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8632.</w:t>
      </w:r>
      <w:r w:rsidRPr="00550D75">
        <w:fldChar w:fldCharType="end"/>
      </w:r>
    </w:p>
  </w:footnote>
  <w:footnote w:id="20">
    <w:p w14:paraId="1E64A8AB" w14:textId="77777777" w:rsidR="00EB301E" w:rsidRPr="00550D75" w:rsidRDefault="00EB301E" w:rsidP="00E92E87">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641.</w:t>
      </w:r>
    </w:p>
  </w:footnote>
  <w:footnote w:id="21">
    <w:p w14:paraId="72B72354" w14:textId="77777777" w:rsidR="00EB301E" w:rsidRPr="00550D75" w:rsidRDefault="00EB301E" w:rsidP="005A0FBA">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380.</w:t>
      </w:r>
    </w:p>
  </w:footnote>
  <w:footnote w:id="22">
    <w:p w14:paraId="31482419" w14:textId="78983065"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{"citationID":"Jvq9Sm1p","properties":{"formattedCitation":"Grisanti, {\\i{}Deuteronomy}, Loc 8643.","plainCitation":"Grisanti, Deuteronomy, Loc 8643.","noteIndex":21},"citationItems":[{"id":610,"uris":["http://zotero.org/users/412201/items/XX2CPDUZ"],"uri":["http://zotero.org/users/412201/items/XX2CPDUZ"],"itemData":{"id":610,"type":"book","title":"Deuteronomy","collection-title":"The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8643"}],"schema":"https://github.com/citation-style-language/schema/raw/master/csl-citation.json"}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8643.</w:t>
      </w:r>
      <w:r w:rsidRPr="00550D75">
        <w:fldChar w:fldCharType="end"/>
      </w:r>
    </w:p>
  </w:footnote>
  <w:footnote w:id="23">
    <w:p w14:paraId="55FA20FB" w14:textId="77777777" w:rsidR="00EB301E" w:rsidRPr="00550D75" w:rsidRDefault="00EB301E" w:rsidP="00EF0865">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381.</w:t>
      </w:r>
    </w:p>
  </w:footnote>
  <w:footnote w:id="24">
    <w:p w14:paraId="2EBF3C07" w14:textId="73B010AB"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{"citationID":"UdXFVDRD","properties":{"formattedCitation":"Grisanti, {\\i{}Deuteronomy}, Loc 8645.","plainCitation":"Grisanti, Deuteronomy, Loc 8645.","noteIndex":23},"citationItems":[{"id":610,"uris":["http://zotero.org/users/412201/items/XX2CPDUZ"],"uri":["http://zotero.org/users/412201/items/XX2CPDUZ"],"itemData":{"id":610,"type":"book","title":"Deuteronomy","collection-title":"The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8645"}],"schema":"https://github.com/citation-style-language/schema/raw/master/csl-citation.json"}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8645.</w:t>
      </w:r>
      <w:r w:rsidRPr="00550D75">
        <w:fldChar w:fldCharType="end"/>
      </w:r>
    </w:p>
  </w:footnote>
  <w:footnote w:id="25">
    <w:p w14:paraId="57CD655B" w14:textId="77777777" w:rsidR="00EB301E" w:rsidRPr="00550D75" w:rsidRDefault="00EB301E" w:rsidP="00F25DB3">
      <w:pPr>
        <w:rPr>
          <w:sz w:val="20"/>
          <w:szCs w:val="20"/>
        </w:rPr>
      </w:pPr>
      <w:r w:rsidRPr="00550D75">
        <w:rPr>
          <w:sz w:val="20"/>
          <w:szCs w:val="20"/>
          <w:vertAlign w:val="superscript"/>
        </w:rPr>
        <w:footnoteRef/>
      </w:r>
      <w:r w:rsidRPr="00550D75">
        <w:rPr>
          <w:sz w:val="20"/>
          <w:szCs w:val="20"/>
        </w:rPr>
        <w:t xml:space="preserve"> Eugene H. Merrill, </w:t>
      </w:r>
      <w:r w:rsidRPr="00550D75">
        <w:rPr>
          <w:i/>
          <w:sz w:val="20"/>
          <w:szCs w:val="20"/>
        </w:rPr>
        <w:t>Deuteronomy</w:t>
      </w:r>
      <w:r w:rsidRPr="00550D75">
        <w:rPr>
          <w:sz w:val="20"/>
          <w:szCs w:val="20"/>
        </w:rPr>
        <w:t>, vol. 4, The New American Commentary (Nashville: Broadman &amp; Holman Publishers, 1994), 336.</w:t>
      </w:r>
    </w:p>
  </w:footnote>
  <w:footnote w:id="26">
    <w:p w14:paraId="784B8539" w14:textId="77777777" w:rsidR="00EB301E" w:rsidRPr="00550D75" w:rsidRDefault="00EB301E" w:rsidP="00EF0865">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381.</w:t>
      </w:r>
    </w:p>
  </w:footnote>
  <w:footnote w:id="27">
    <w:p w14:paraId="32A58203" w14:textId="77777777" w:rsidR="00EB301E" w:rsidRPr="00550D75" w:rsidRDefault="00EB301E" w:rsidP="00B54156">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642.</w:t>
      </w:r>
    </w:p>
  </w:footnote>
  <w:footnote w:id="28">
    <w:p w14:paraId="7408B9D2" w14:textId="77777777" w:rsidR="00EB301E" w:rsidRPr="00550D75" w:rsidRDefault="00EB301E" w:rsidP="001504E4">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382.</w:t>
      </w:r>
    </w:p>
  </w:footnote>
  <w:footnote w:id="29">
    <w:p w14:paraId="2D648622" w14:textId="77777777" w:rsidR="00EB301E" w:rsidRPr="00550D75" w:rsidRDefault="00EB301E" w:rsidP="000D319C">
      <w:pPr>
        <w:rPr>
          <w:sz w:val="20"/>
          <w:szCs w:val="20"/>
        </w:rPr>
      </w:pPr>
      <w:r w:rsidRPr="00550D75">
        <w:rPr>
          <w:sz w:val="20"/>
          <w:szCs w:val="20"/>
          <w:vertAlign w:val="superscript"/>
        </w:rPr>
        <w:footnoteRef/>
      </w:r>
      <w:r w:rsidRPr="00550D75">
        <w:rPr>
          <w:sz w:val="20"/>
          <w:szCs w:val="20"/>
        </w:rPr>
        <w:t xml:space="preserve"> Eugene H. Merrill, </w:t>
      </w:r>
      <w:r w:rsidRPr="00550D75">
        <w:rPr>
          <w:i/>
          <w:sz w:val="20"/>
          <w:szCs w:val="20"/>
        </w:rPr>
        <w:t>Deuteronomy</w:t>
      </w:r>
      <w:r w:rsidRPr="00550D75">
        <w:rPr>
          <w:sz w:val="20"/>
          <w:szCs w:val="20"/>
        </w:rPr>
        <w:t>, vol. 4, The New American Commentary (Nashville: Broadman &amp; Holman Publishers, 1994), 336.</w:t>
      </w:r>
    </w:p>
  </w:footnote>
  <w:footnote w:id="30">
    <w:p w14:paraId="2CD79A18" w14:textId="0304CB5D"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{"citationID":"PZwemByN","properties":{"formattedCitation":"Grisanti, {\\i{}Deuteronomy}, Loc 8560.","plainCitation":"Grisanti, Deuteronomy, Loc 8560.","noteIndex":29},"citationItems":[{"id":610,"uris":["http://zotero.org/users/412201/items/XX2CPDUZ"],"uri":["http://zotero.org/users/412201/items/XX2CPDUZ"],"itemData":{"id":610,"type":"book","title":"Deuteronomy","collection-title":"The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8560"}],"schema":"https://github.com/citation-style-language/schema/raw/master/csl-citation.json"}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8560.</w:t>
      </w:r>
      <w:r w:rsidRPr="00550D75">
        <w:fldChar w:fldCharType="end"/>
      </w:r>
    </w:p>
  </w:footnote>
  <w:footnote w:id="31">
    <w:p w14:paraId="16492E24" w14:textId="7F565326" w:rsidR="00EB301E" w:rsidRPr="00550D75" w:rsidRDefault="00EB301E" w:rsidP="00043249">
      <w:pPr>
        <w:rPr>
          <w:sz w:val="20"/>
          <w:szCs w:val="20"/>
        </w:rPr>
      </w:pPr>
      <w:r w:rsidRPr="00550D75">
        <w:rPr>
          <w:sz w:val="20"/>
          <w:szCs w:val="20"/>
          <w:vertAlign w:val="superscript"/>
        </w:rPr>
        <w:footnoteRef/>
      </w:r>
      <w:r w:rsidRPr="00550D75">
        <w:rPr>
          <w:sz w:val="20"/>
          <w:szCs w:val="20"/>
        </w:rPr>
        <w:t xml:space="preserve"> Cited </w:t>
      </w:r>
      <w:proofErr w:type="gramStart"/>
      <w:r w:rsidRPr="00550D75">
        <w:rPr>
          <w:sz w:val="20"/>
          <w:szCs w:val="20"/>
        </w:rPr>
        <w:t>in:</w:t>
      </w:r>
      <w:proofErr w:type="gramEnd"/>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642.</w:t>
      </w:r>
    </w:p>
  </w:footnote>
  <w:footnote w:id="32">
    <w:p w14:paraId="19784445" w14:textId="77777777" w:rsidR="00EB301E" w:rsidRPr="00550D75" w:rsidRDefault="00EB301E" w:rsidP="001504E4">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382.</w:t>
      </w:r>
    </w:p>
  </w:footnote>
  <w:footnote w:id="33">
    <w:p w14:paraId="5259CD0D" w14:textId="77777777" w:rsidR="00EB301E" w:rsidRPr="00550D75" w:rsidRDefault="00EB301E" w:rsidP="007B6C12">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647.</w:t>
      </w:r>
    </w:p>
  </w:footnote>
  <w:footnote w:id="34">
    <w:p w14:paraId="26671415" w14:textId="43892465" w:rsidR="00EB301E" w:rsidRPr="00550D75" w:rsidRDefault="00EB301E">
      <w:pPr>
        <w:pStyle w:val="FootnoteText"/>
      </w:pPr>
      <w:r w:rsidRPr="00550D75">
        <w:rPr>
          <w:rStyle w:val="FootnoteReference"/>
        </w:rPr>
        <w:footnoteRef/>
      </w:r>
      <w:r w:rsidRPr="00550D75">
        <w:t xml:space="preserve"> </w:t>
      </w:r>
      <w:r w:rsidRPr="00550D75">
        <w:fldChar w:fldCharType="begin"/>
      </w:r>
      <w:r w:rsidR="009C22D1">
        <w:instrText xml:space="preserve"> ADDIN ZOTERO_ITEM CSL_CITATION {"citationID":"nq1eUDdO","properties":{"formattedCitation":"Grisanti, {\\i{}Deuteronomy}, Loc 8687.","plainCitation":"Grisanti, Deuteronomy, Loc 8687.","noteIndex":33},"citationItems":[{"id":610,"uris":["http://zotero.org/users/412201/items/XX2CPDUZ"],"uri":["http://zotero.org/users/412201/items/XX2CPDUZ"],"itemData":{"id":610,"type":"book","title":"Deuteronomy","collection-title":"The Expositor's Bible Commentary","publisher":"Zondervan","publisher-place":"Grand Rapids","edition":"Kindle ed.","event-place":"Grand Rapids","author":[{"family":"Grisanti","given":"Michael A."}],"editor":[{"family":"Longman III","given":"Tremper"},{"family":"Garland","given":"David E."}],"issued":{"date-parts":[["2012"]]}},"locator":"Loc 8687"}],"schema":"https://github.com/citation-style-language/schema/raw/master/csl-citation.json"} </w:instrText>
      </w:r>
      <w:r w:rsidRPr="00550D75">
        <w:fldChar w:fldCharType="separate"/>
      </w:r>
      <w:proofErr w:type="spellStart"/>
      <w:r w:rsidRPr="00550D75">
        <w:t>Grisanti</w:t>
      </w:r>
      <w:proofErr w:type="spellEnd"/>
      <w:r w:rsidRPr="00550D75">
        <w:t xml:space="preserve">, </w:t>
      </w:r>
      <w:r w:rsidRPr="00550D75">
        <w:rPr>
          <w:i/>
          <w:iCs/>
        </w:rPr>
        <w:t>Deuteronomy</w:t>
      </w:r>
      <w:r w:rsidRPr="00550D75">
        <w:t>, Loc 8687.</w:t>
      </w:r>
      <w:r w:rsidRPr="00550D75">
        <w:fldChar w:fldCharType="end"/>
      </w:r>
    </w:p>
  </w:footnote>
  <w:footnote w:id="35">
    <w:p w14:paraId="2F68DE2E" w14:textId="77777777" w:rsidR="00EB301E" w:rsidRPr="00550D75" w:rsidRDefault="00EB301E" w:rsidP="000D319C">
      <w:pPr>
        <w:rPr>
          <w:sz w:val="20"/>
          <w:szCs w:val="20"/>
        </w:rPr>
      </w:pPr>
      <w:r w:rsidRPr="00550D75">
        <w:rPr>
          <w:sz w:val="20"/>
          <w:szCs w:val="20"/>
          <w:vertAlign w:val="superscript"/>
        </w:rPr>
        <w:footnoteRef/>
      </w:r>
      <w:r w:rsidRPr="00550D75">
        <w:rPr>
          <w:sz w:val="20"/>
          <w:szCs w:val="20"/>
        </w:rPr>
        <w:t xml:space="preserve"> Eugene H. Merrill, </w:t>
      </w:r>
      <w:r w:rsidRPr="00550D75">
        <w:rPr>
          <w:i/>
          <w:sz w:val="20"/>
          <w:szCs w:val="20"/>
        </w:rPr>
        <w:t>Deuteronomy</w:t>
      </w:r>
      <w:r w:rsidRPr="00550D75">
        <w:rPr>
          <w:sz w:val="20"/>
          <w:szCs w:val="20"/>
        </w:rPr>
        <w:t>, vol. 4, The New American Commentary (Nashville: Broadman &amp; Holman Publishers, 1994), 337.</w:t>
      </w:r>
    </w:p>
  </w:footnote>
  <w:footnote w:id="36">
    <w:p w14:paraId="4642D7ED" w14:textId="77777777" w:rsidR="00AC06F6" w:rsidRPr="00550D75" w:rsidRDefault="00AC06F6" w:rsidP="00AC06F6">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382.</w:t>
      </w:r>
    </w:p>
  </w:footnote>
  <w:footnote w:id="37">
    <w:p w14:paraId="71F96FA4" w14:textId="77777777" w:rsidR="00A607B9" w:rsidRPr="00550D75" w:rsidRDefault="00A607B9" w:rsidP="00A607B9">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647.</w:t>
      </w:r>
    </w:p>
  </w:footnote>
  <w:footnote w:id="38">
    <w:p w14:paraId="3219F751" w14:textId="77777777" w:rsidR="00667240" w:rsidRPr="00550D75" w:rsidRDefault="00667240" w:rsidP="00667240">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385.</w:t>
      </w:r>
    </w:p>
  </w:footnote>
  <w:footnote w:id="39">
    <w:p w14:paraId="1119D43A" w14:textId="77777777" w:rsidR="00EB301E" w:rsidRPr="00550D75" w:rsidRDefault="00EB301E" w:rsidP="00DC1CA6">
      <w:pPr>
        <w:rPr>
          <w:sz w:val="20"/>
          <w:szCs w:val="20"/>
        </w:rPr>
      </w:pPr>
      <w:r w:rsidRPr="00550D75">
        <w:rPr>
          <w:sz w:val="20"/>
          <w:szCs w:val="20"/>
          <w:vertAlign w:val="superscript"/>
        </w:rPr>
        <w:footnoteRef/>
      </w:r>
      <w:r w:rsidRPr="00550D75">
        <w:rPr>
          <w:sz w:val="20"/>
          <w:szCs w:val="20"/>
        </w:rPr>
        <w:t xml:space="preserve"> J. G. McConville, </w:t>
      </w:r>
      <w:r w:rsidRPr="00550D75">
        <w:rPr>
          <w:i/>
          <w:sz w:val="20"/>
          <w:szCs w:val="20"/>
        </w:rPr>
        <w:t>Deuteronomy</w:t>
      </w:r>
      <w:r w:rsidRPr="00550D75">
        <w:rPr>
          <w:sz w:val="20"/>
          <w:szCs w:val="20"/>
        </w:rPr>
        <w:t>, ed. David W. Baker and Gordon J. Wenham, vol. 5, Apollos Old Testament Commentary (Leicester, England; Downers Grove, IL: Apollos; InterVarsity Press, 2002), 383.</w:t>
      </w:r>
    </w:p>
  </w:footnote>
  <w:footnote w:id="40">
    <w:p w14:paraId="164DC77F" w14:textId="77777777" w:rsidR="00EB301E" w:rsidRPr="00550D75" w:rsidRDefault="00EB301E" w:rsidP="00E92E87">
      <w:pPr>
        <w:rPr>
          <w:sz w:val="20"/>
          <w:szCs w:val="20"/>
        </w:rPr>
      </w:pPr>
      <w:r w:rsidRPr="00550D75">
        <w:rPr>
          <w:sz w:val="20"/>
          <w:szCs w:val="20"/>
          <w:vertAlign w:val="superscript"/>
        </w:rPr>
        <w:footnoteRef/>
      </w:r>
      <w:r w:rsidRPr="00550D75">
        <w:rPr>
          <w:sz w:val="20"/>
          <w:szCs w:val="20"/>
        </w:rPr>
        <w:t xml:space="preserve"> Duane L. Christensen, </w:t>
      </w:r>
      <w:r w:rsidRPr="00550D75">
        <w:rPr>
          <w:i/>
          <w:sz w:val="20"/>
          <w:szCs w:val="20"/>
        </w:rPr>
        <w:t>Deuteronomy 21:10–34:12</w:t>
      </w:r>
      <w:r w:rsidRPr="00550D75">
        <w:rPr>
          <w:sz w:val="20"/>
          <w:szCs w:val="20"/>
        </w:rPr>
        <w:t>, vol. 6B, Word Biblical Commentary (Dallas: Word, Incorporated, 2002), 647.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C4AF4"/>
    <w:multiLevelType w:val="hybridMultilevel"/>
    <w:tmpl w:val="7D0E07AA"/>
    <w:numStyleLink w:val="ImportedStyle1"/>
  </w:abstractNum>
  <w:abstractNum w:abstractNumId="1" w15:restartNumberingAfterBreak="0">
    <w:nsid w:val="148C75E6"/>
    <w:multiLevelType w:val="hybridMultilevel"/>
    <w:tmpl w:val="AFA25F8A"/>
    <w:lvl w:ilvl="0" w:tplc="D01EBB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9EA95A">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2709F84">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B188AEC">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10FE7E">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13459FE">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BEB47B36">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064034">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B4F676">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34401FF"/>
    <w:multiLevelType w:val="hybridMultilevel"/>
    <w:tmpl w:val="7D0E07AA"/>
    <w:styleLink w:val="ImportedStyle1"/>
    <w:lvl w:ilvl="0" w:tplc="64349F9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711C9AE4">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D0859A0">
      <w:start w:val="1"/>
      <w:numFmt w:val="bullet"/>
      <w:lvlText w:val="•"/>
      <w:lvlJc w:val="left"/>
      <w:pPr>
        <w:ind w:left="193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F7A3FA8">
      <w:start w:val="1"/>
      <w:numFmt w:val="bullet"/>
      <w:lvlText w:val="•"/>
      <w:lvlJc w:val="left"/>
      <w:pPr>
        <w:ind w:left="271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D827D08">
      <w:start w:val="1"/>
      <w:numFmt w:val="bullet"/>
      <w:lvlText w:val="•"/>
      <w:lvlJc w:val="left"/>
      <w:pPr>
        <w:ind w:left="350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B404F9A">
      <w:start w:val="1"/>
      <w:numFmt w:val="bullet"/>
      <w:lvlText w:val="•"/>
      <w:lvlJc w:val="left"/>
      <w:pPr>
        <w:ind w:left="428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6C0C00E">
      <w:start w:val="1"/>
      <w:numFmt w:val="bullet"/>
      <w:lvlText w:val="•"/>
      <w:lvlJc w:val="left"/>
      <w:pPr>
        <w:ind w:left="507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62AE77E">
      <w:start w:val="1"/>
      <w:numFmt w:val="bullet"/>
      <w:lvlText w:val="•"/>
      <w:lvlJc w:val="left"/>
      <w:pPr>
        <w:ind w:left="585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C4E7BA6">
      <w:start w:val="1"/>
      <w:numFmt w:val="bullet"/>
      <w:lvlText w:val="•"/>
      <w:lvlJc w:val="left"/>
      <w:pPr>
        <w:ind w:left="664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
  </w:num>
  <w:num w:numId="4">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1"/>
    <w:lvlOverride w:ilvl="0">
      <w:lvl w:ilvl="0" w:tplc="D01EBB12">
        <w:start w:val="1"/>
        <w:numFmt w:val="bullet"/>
        <w:lvlText w:val="•"/>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B9EA95A">
        <w:start w:val="1"/>
        <w:numFmt w:val="bullet"/>
        <w:lvlText w:val="•"/>
        <w:lvlJc w:val="left"/>
        <w:pPr>
          <w:ind w:left="114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2709F84">
        <w:start w:val="1"/>
        <w:numFmt w:val="bullet"/>
        <w:lvlText w:val="•"/>
        <w:lvlJc w:val="left"/>
        <w:pPr>
          <w:ind w:left="1931"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3B188AEC">
        <w:start w:val="1"/>
        <w:numFmt w:val="bullet"/>
        <w:lvlText w:val="•"/>
        <w:lvlJc w:val="left"/>
        <w:pPr>
          <w:ind w:left="2716"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110FE7E">
        <w:start w:val="1"/>
        <w:numFmt w:val="bullet"/>
        <w:lvlText w:val="•"/>
        <w:lvlJc w:val="left"/>
        <w:pPr>
          <w:ind w:left="3502"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D13459FE">
        <w:start w:val="1"/>
        <w:numFmt w:val="bullet"/>
        <w:lvlText w:val="•"/>
        <w:lvlJc w:val="left"/>
        <w:pPr>
          <w:ind w:left="4287"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BEB47B36">
        <w:start w:val="1"/>
        <w:numFmt w:val="bullet"/>
        <w:lvlText w:val="•"/>
        <w:lvlJc w:val="left"/>
        <w:pPr>
          <w:ind w:left="5073"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47064034">
        <w:start w:val="1"/>
        <w:numFmt w:val="bullet"/>
        <w:lvlText w:val="•"/>
        <w:lvlJc w:val="left"/>
        <w:pPr>
          <w:ind w:left="5858"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7B4F676">
        <w:start w:val="1"/>
        <w:numFmt w:val="bullet"/>
        <w:lvlText w:val="•"/>
        <w:lvlJc w:val="left"/>
        <w:pPr>
          <w:ind w:left="6644"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360"/>
  <w:autoHyphenation/>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0MDAzMzIxtTQzNzdU0lEKTi0uzszPAykwqwUAG8GlqSwAAAA="/>
  </w:docVars>
  <w:rsids>
    <w:rsidRoot w:val="002E27FF"/>
    <w:rsid w:val="000048B4"/>
    <w:rsid w:val="00005F55"/>
    <w:rsid w:val="0003121C"/>
    <w:rsid w:val="00043249"/>
    <w:rsid w:val="0007465F"/>
    <w:rsid w:val="000B1DDC"/>
    <w:rsid w:val="000B69E4"/>
    <w:rsid w:val="000C2ADB"/>
    <w:rsid w:val="000D319C"/>
    <w:rsid w:val="000F6097"/>
    <w:rsid w:val="000F6983"/>
    <w:rsid w:val="001504E4"/>
    <w:rsid w:val="001A5C48"/>
    <w:rsid w:val="001B1ADE"/>
    <w:rsid w:val="001E67E9"/>
    <w:rsid w:val="00216454"/>
    <w:rsid w:val="00272723"/>
    <w:rsid w:val="0027285A"/>
    <w:rsid w:val="002A2C7A"/>
    <w:rsid w:val="002E27FF"/>
    <w:rsid w:val="002F5C35"/>
    <w:rsid w:val="00313E6A"/>
    <w:rsid w:val="003302B0"/>
    <w:rsid w:val="00366FEA"/>
    <w:rsid w:val="003A0E4D"/>
    <w:rsid w:val="003D01A9"/>
    <w:rsid w:val="00404A1F"/>
    <w:rsid w:val="004220C3"/>
    <w:rsid w:val="004B26D3"/>
    <w:rsid w:val="004C7C90"/>
    <w:rsid w:val="004E529B"/>
    <w:rsid w:val="00550D75"/>
    <w:rsid w:val="00560C18"/>
    <w:rsid w:val="005704E8"/>
    <w:rsid w:val="005A0FBA"/>
    <w:rsid w:val="005B46AF"/>
    <w:rsid w:val="00665A76"/>
    <w:rsid w:val="00667240"/>
    <w:rsid w:val="00667F65"/>
    <w:rsid w:val="006F370D"/>
    <w:rsid w:val="00733AA5"/>
    <w:rsid w:val="007478F1"/>
    <w:rsid w:val="007B4316"/>
    <w:rsid w:val="007B6C12"/>
    <w:rsid w:val="007B7FC1"/>
    <w:rsid w:val="007F6D7B"/>
    <w:rsid w:val="0081455D"/>
    <w:rsid w:val="008273AB"/>
    <w:rsid w:val="0086267F"/>
    <w:rsid w:val="00867510"/>
    <w:rsid w:val="008D1617"/>
    <w:rsid w:val="00911936"/>
    <w:rsid w:val="00997C75"/>
    <w:rsid w:val="009C22D1"/>
    <w:rsid w:val="009C4EDB"/>
    <w:rsid w:val="009F1A4A"/>
    <w:rsid w:val="00A607B9"/>
    <w:rsid w:val="00A70046"/>
    <w:rsid w:val="00AC06F6"/>
    <w:rsid w:val="00AC1DB2"/>
    <w:rsid w:val="00AD1CF9"/>
    <w:rsid w:val="00B30EF9"/>
    <w:rsid w:val="00B54156"/>
    <w:rsid w:val="00B60A9A"/>
    <w:rsid w:val="00BB02C0"/>
    <w:rsid w:val="00BE090B"/>
    <w:rsid w:val="00C51523"/>
    <w:rsid w:val="00C875D6"/>
    <w:rsid w:val="00CE7803"/>
    <w:rsid w:val="00CF3BA8"/>
    <w:rsid w:val="00D45D26"/>
    <w:rsid w:val="00D47ADD"/>
    <w:rsid w:val="00D56B43"/>
    <w:rsid w:val="00D63F9A"/>
    <w:rsid w:val="00D91AFD"/>
    <w:rsid w:val="00DA547B"/>
    <w:rsid w:val="00DB6841"/>
    <w:rsid w:val="00DC1CA6"/>
    <w:rsid w:val="00DE4EEA"/>
    <w:rsid w:val="00E848EE"/>
    <w:rsid w:val="00E92E87"/>
    <w:rsid w:val="00EB301E"/>
    <w:rsid w:val="00EE33D8"/>
    <w:rsid w:val="00EF0865"/>
    <w:rsid w:val="00F11B4D"/>
    <w:rsid w:val="00F25DB3"/>
    <w:rsid w:val="00F973DE"/>
    <w:rsid w:val="00FC5D17"/>
    <w:rsid w:val="00FE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FCE6F"/>
  <w15:docId w15:val="{5375CCD5-5153-4F0F-AB72-FFF8A3458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Normal-Manual"/>
    <w:uiPriority w:val="9"/>
    <w:unhideWhenUsed/>
    <w:qFormat/>
    <w:pPr>
      <w:keepNext/>
      <w:pBdr>
        <w:bottom w:val="dashed" w:sz="4" w:space="0" w:color="000000"/>
      </w:pBdr>
      <w:spacing w:before="240" w:after="200"/>
      <w:ind w:left="720"/>
      <w:outlineLvl w:val="1"/>
    </w:pPr>
    <w:rPr>
      <w:rFonts w:ascii="Tahoma" w:hAnsi="Tahoma" w:cs="Arial Unicode MS"/>
      <w:b/>
      <w:bCs/>
      <w:color w:val="000000"/>
      <w:sz w:val="24"/>
      <w:szCs w:val="24"/>
      <w:u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cs="Arial Unicode MS"/>
      <w:color w:val="000000"/>
      <w:sz w:val="24"/>
      <w:szCs w:val="24"/>
      <w:u w:color="000000"/>
    </w:rPr>
  </w:style>
  <w:style w:type="paragraph" w:styleId="Title">
    <w:name w:val="Title"/>
    <w:next w:val="Normal-Manual"/>
    <w:uiPriority w:val="10"/>
    <w:qFormat/>
    <w:pPr>
      <w:pBdr>
        <w:bottom w:val="single" w:sz="24" w:space="0" w:color="000000"/>
      </w:pBdr>
      <w:spacing w:before="240" w:after="200"/>
    </w:pPr>
    <w:rPr>
      <w:rFonts w:ascii="Tahoma" w:hAnsi="Tahoma" w:cs="Arial Unicode MS"/>
      <w:b/>
      <w:bCs/>
      <w:color w:val="000000"/>
      <w:sz w:val="32"/>
      <w:szCs w:val="32"/>
      <w:u w:color="000000"/>
    </w:rPr>
  </w:style>
  <w:style w:type="paragraph" w:customStyle="1" w:styleId="Normal-Manual">
    <w:name w:val="Normal - Manual"/>
    <w:pPr>
      <w:tabs>
        <w:tab w:val="left" w:pos="360"/>
      </w:tabs>
    </w:pPr>
    <w:rPr>
      <w:rFonts w:cs="Arial Unicode MS"/>
      <w:color w:val="000000"/>
      <w:sz w:val="24"/>
      <w:szCs w:val="24"/>
      <w:u w:color="000000"/>
    </w:rPr>
  </w:style>
  <w:style w:type="numbering" w:customStyle="1" w:styleId="ImportedStyle1">
    <w:name w:val="Imported Style 1"/>
    <w:pPr>
      <w:numPr>
        <w:numId w:val="1"/>
      </w:numPr>
    </w:pPr>
  </w:style>
  <w:style w:type="paragraph" w:customStyle="1" w:styleId="Footnote">
    <w:name w:val="Footnote"/>
    <w:rPr>
      <w:rFonts w:ascii="Helvetica Neue" w:eastAsia="Helvetica Neue" w:hAnsi="Helvetica Neue" w:cs="Helvetica Neue"/>
      <w:color w:val="000000"/>
      <w:sz w:val="22"/>
      <w:szCs w:val="22"/>
      <w:u w:color="000000"/>
    </w:rPr>
  </w:style>
  <w:style w:type="character" w:customStyle="1" w:styleId="None">
    <w:name w:val="None"/>
  </w:style>
  <w:style w:type="character" w:customStyle="1" w:styleId="Hyperlink0">
    <w:name w:val="Hyperlink.0"/>
    <w:basedOn w:val="None"/>
    <w:rPr>
      <w:i/>
      <w:iCs/>
      <w:color w:val="0432FF"/>
      <w:u w:val="single"/>
    </w:rPr>
  </w:style>
  <w:style w:type="character" w:customStyle="1" w:styleId="Hyperlink1">
    <w:name w:val="Hyperlink.1"/>
    <w:basedOn w:val="None"/>
    <w:rPr>
      <w:color w:val="0432FF"/>
      <w:u w:val="single"/>
    </w:rPr>
  </w:style>
  <w:style w:type="paragraph" w:styleId="FootnoteText">
    <w:name w:val="footnote text"/>
    <w:basedOn w:val="Normal"/>
    <w:link w:val="FootnoteTextChar"/>
    <w:uiPriority w:val="99"/>
    <w:semiHidden/>
    <w:unhideWhenUsed/>
    <w:rsid w:val="00A70046"/>
    <w:rPr>
      <w:sz w:val="20"/>
      <w:szCs w:val="20"/>
    </w:rPr>
  </w:style>
  <w:style w:type="character" w:customStyle="1" w:styleId="FootnoteTextChar">
    <w:name w:val="Footnote Text Char"/>
    <w:basedOn w:val="DefaultParagraphFont"/>
    <w:link w:val="FootnoteText"/>
    <w:uiPriority w:val="99"/>
    <w:semiHidden/>
    <w:rsid w:val="00A70046"/>
  </w:style>
  <w:style w:type="character" w:styleId="FootnoteReference">
    <w:name w:val="footnote reference"/>
    <w:basedOn w:val="DefaultParagraphFont"/>
    <w:uiPriority w:val="99"/>
    <w:semiHidden/>
    <w:unhideWhenUsed/>
    <w:rsid w:val="00A70046"/>
    <w:rPr>
      <w:vertAlign w:val="superscript"/>
    </w:rPr>
  </w:style>
  <w:style w:type="paragraph" w:styleId="ListParagraph">
    <w:name w:val="List Paragraph"/>
    <w:basedOn w:val="Normal"/>
    <w:uiPriority w:val="34"/>
    <w:qFormat/>
    <w:rsid w:val="006F370D"/>
    <w:pPr>
      <w:ind w:left="720"/>
      <w:contextualSpacing/>
    </w:pPr>
  </w:style>
  <w:style w:type="paragraph" w:styleId="NormalWeb">
    <w:name w:val="Normal (Web)"/>
    <w:basedOn w:val="Normal"/>
    <w:uiPriority w:val="99"/>
    <w:unhideWhenUsed/>
    <w:rsid w:val="001504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9C22D1"/>
    <w:pPr>
      <w:tabs>
        <w:tab w:val="center" w:pos="4680"/>
        <w:tab w:val="right" w:pos="9360"/>
      </w:tabs>
    </w:pPr>
  </w:style>
  <w:style w:type="character" w:customStyle="1" w:styleId="HeaderChar">
    <w:name w:val="Header Char"/>
    <w:basedOn w:val="DefaultParagraphFont"/>
    <w:link w:val="Header"/>
    <w:uiPriority w:val="99"/>
    <w:rsid w:val="009C22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321951">
      <w:bodyDiv w:val="1"/>
      <w:marLeft w:val="0"/>
      <w:marRight w:val="0"/>
      <w:marTop w:val="0"/>
      <w:marBottom w:val="0"/>
      <w:divBdr>
        <w:top w:val="none" w:sz="0" w:space="0" w:color="auto"/>
        <w:left w:val="none" w:sz="0" w:space="0" w:color="auto"/>
        <w:bottom w:val="none" w:sz="0" w:space="0" w:color="auto"/>
        <w:right w:val="none" w:sz="0" w:space="0" w:color="auto"/>
      </w:divBdr>
    </w:div>
    <w:div w:id="1143276036">
      <w:bodyDiv w:val="1"/>
      <w:marLeft w:val="0"/>
      <w:marRight w:val="0"/>
      <w:marTop w:val="0"/>
      <w:marBottom w:val="0"/>
      <w:divBdr>
        <w:top w:val="none" w:sz="0" w:space="0" w:color="auto"/>
        <w:left w:val="none" w:sz="0" w:space="0" w:color="auto"/>
        <w:bottom w:val="none" w:sz="0" w:space="0" w:color="auto"/>
        <w:right w:val="none" w:sz="0" w:space="0" w:color="auto"/>
      </w:divBdr>
    </w:div>
    <w:div w:id="1817719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ahoma"/>
        <a:ea typeface="Tahoma"/>
        <a:cs typeface="Tahom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1470</TotalTime>
  <Pages>10</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Joel Giesbrecht</cp:lastModifiedBy>
  <cp:revision>24</cp:revision>
  <cp:lastPrinted>2019-03-13T19:58:00Z</cp:lastPrinted>
  <dcterms:created xsi:type="dcterms:W3CDTF">2019-03-14T18:10:00Z</dcterms:created>
  <dcterms:modified xsi:type="dcterms:W3CDTF">2019-03-18T20:47:00Z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zotero-version="5.0.63"&gt;&lt;session id="hIJBJd5o"/&gt;&lt;style id="http://www.zotero.org/styles/turabian-fullnote-bibliography" hasBibliography="1" bibliographyStyleHasBeenSet="0"/&gt;&lt;prefs&gt;&lt;pref name="fieldType" value="Field"/&gt;&lt;pref name="au</vt:lpwstr>
  </property>
  <property fmtid="{D5CDD505-2E9C-101B-9397-08002B2CF9AE}" pid="3" name="ZOTERO_PREF_2">
    <vt:lpwstr>tomaticJournalAbbreviations" value="true"/&gt;&lt;pref name="noteType" value="1"/&gt;&lt;/prefs&gt;&lt;/data&gt;</vt:lpwstr>
  </property>
</Properties>
</file>