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  <w:tabs>
          <w:tab w:val="left" w:pos="8627"/>
        </w:tabs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1881424</wp:posOffset>
                </wp:positionH>
                <wp:positionV relativeFrom="line">
                  <wp:posOffset>44657</wp:posOffset>
                </wp:positionV>
                <wp:extent cx="4100489" cy="2269701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489" cy="2269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Faith Bible Church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  <w:lang w:val="it-IT"/>
                              </w:rPr>
                              <w:t>Care Group Questions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The Role of Wives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 xml:space="preserve">1 Peter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3:1-6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For the week of: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tl w:val="0"/>
                              </w:rPr>
                              <w:t>/18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8.1pt;margin-top:3.5pt;width:322.9pt;height:178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48"/>
                          <w:szCs w:val="48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48"/>
                          <w:szCs w:val="48"/>
                          <w:rtl w:val="0"/>
                          <w:lang w:val="en-US"/>
                        </w:rPr>
                        <w:t>Faith Bible Church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48"/>
                          <w:szCs w:val="48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48"/>
                          <w:szCs w:val="48"/>
                          <w:rtl w:val="0"/>
                          <w:lang w:val="it-IT"/>
                        </w:rPr>
                        <w:t>Care Group Questions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  <w:rtl w:val="0"/>
                          <w:lang w:val="en-US"/>
                        </w:rPr>
                        <w:t>The Role of Wives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32"/>
                          <w:szCs w:val="32"/>
                          <w:rtl w:val="0"/>
                          <w:lang w:val="de-DE"/>
                        </w:rPr>
                        <w:t xml:space="preserve">1 Peter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3:1-6</w:t>
                      </w: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For the week of: </w:t>
                      </w:r>
                      <w:r>
                        <w:rPr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tl w:val="0"/>
                          <w:lang w:val="en-US"/>
                        </w:rPr>
                        <w:t>/</w:t>
                      </w:r>
                      <w:r>
                        <w:rPr>
                          <w:rtl w:val="0"/>
                          <w:lang w:val="en-US"/>
                        </w:rPr>
                        <w:t>1</w:t>
                      </w:r>
                      <w:r>
                        <w:rPr>
                          <w:rtl w:val="0"/>
                          <w:lang w:val="en-US"/>
                        </w:rPr>
                        <w:t>8</w:t>
                      </w:r>
                      <w:r>
                        <w:rPr>
                          <w:rtl w:val="0"/>
                        </w:rPr>
                        <w:t>/18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>
          <wp:inline distT="0" distB="0" distL="0" distR="0">
            <wp:extent cx="1651637" cy="1633384"/>
            <wp:effectExtent l="0" t="0" r="0" b="0"/>
            <wp:docPr id="1073741826" name="officeArt object" descr="C:\Users\JohnKoh\Documents\Church Ministry\Administration\Artwork\Logos\NEW FB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JohnKoh\Documents\Church Ministry\Administration\Artwork\Logos\NEW FBC LOGO.png" descr="C:\Users\JohnKoh\Documents\Church Ministry\Administration\Artwork\Logos\NEW FBC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7548" t="6132" r="7075" b="9435"/>
                    <a:stretch>
                      <a:fillRect/>
                    </a:stretch>
                  </pic:blipFill>
                  <pic:spPr>
                    <a:xfrm>
                      <a:off x="0" y="0"/>
                      <a:ext cx="1651637" cy="1633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b w:val="1"/>
          <w:bCs w:val="1"/>
          <w:sz w:val="48"/>
          <w:szCs w:val="48"/>
        </w:rPr>
        <w:tab/>
      </w:r>
    </w:p>
    <w:p>
      <w:pPr>
        <w:pStyle w:val="Body A"/>
      </w:pPr>
    </w:p>
    <w:p>
      <w:pPr>
        <w:pStyle w:val="Body A"/>
      </w:pPr>
    </w:p>
    <w:p>
      <w:pPr>
        <w:pStyle w:val="Normal - Manual"/>
        <w:spacing w:after="0" w:line="240" w:lineRule="auto"/>
      </w:pPr>
    </w:p>
    <w:p>
      <w:pPr>
        <w:pStyle w:val="Normal - Manual"/>
        <w:spacing w:after="0" w:line="240" w:lineRule="auto"/>
      </w:pPr>
      <w:r>
        <w:rPr>
          <w:rFonts w:ascii="Calibri" w:cs="Calibri" w:hAnsi="Calibri" w:eastAsia="Calibri"/>
          <w:b w:val="1"/>
          <w:bCs w:val="1"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color w:val="00131f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1. According to verses 1 and 2, how should a Christian wife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s internal attitude and external behavior be towards an unbelieving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 xml:space="preserve"> h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usband; how does this connect back to 1 Peter 2:12?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color w:val="00131f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color w:val="00131f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2. For women who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 xml:space="preserve">s husbands are believers, what tools does the Word of God provide for dealing with sins? 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color w:val="00131f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color w:val="00131f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3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 xml:space="preserve">. In the case of a Christian wife with an unbelieving husband how is she called to potentially 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</w:rPr>
        <w:t>“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win him [to Christ]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day in and day out? (V1b) What should she do? What should she NOT do?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 xml:space="preserve"> How would these principles apply to marriages where both spouses are believers? 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color w:val="00131f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color w:val="00131f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4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 xml:space="preserve">. What does it mean to be 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</w:rPr>
        <w:t>‘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adorned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</w:rPr>
        <w:t xml:space="preserve">’ 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and what should the Christian woman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 xml:space="preserve">s focus be 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 xml:space="preserve">regarding adornment? How would this look practically? 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color w:val="00131f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color w:val="00131f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5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. In God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s eyes, what does He find precious and of great value in a woman of God? Elaborate on what this looks like practically every day.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color w:val="00131f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color w:val="00131f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6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 xml:space="preserve">. How is Sarah an example of a 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</w:rPr>
        <w:t>‘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holy woman who hoped in GOD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 xml:space="preserve">, and a 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</w:rPr>
        <w:t>‘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submissive wife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 xml:space="preserve">? (See Genesis 18:12) In what ways should women follow in her footsteps 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(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desir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ing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 xml:space="preserve"> to be 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</w:rPr>
        <w:t>‘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her children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)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</w:rPr>
        <w:t>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color w:val="00131f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color w:val="00131f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7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. What is the danger in a Christian wife submitting to her husband EXTERNALLY while inside they are angry, bitter, and/or despising their husband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s headship?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color w:val="00131f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tl w:val="0"/>
        </w:rPr>
      </w:pP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 xml:space="preserve">8. What are some things that might cause a Christian wife the kind of 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  <w:lang w:val="en-US"/>
        </w:rPr>
        <w:t>‘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>fear</w:t>
      </w:r>
      <w:r>
        <w:rPr>
          <w:rFonts w:ascii="Arial" w:hAnsi="Arial" w:hint="default"/>
          <w:color w:val="00131f"/>
          <w:sz w:val="24"/>
          <w:szCs w:val="24"/>
          <w:shd w:val="clear" w:color="auto" w:fill="ffffff"/>
          <w:rtl w:val="0"/>
          <w:lang w:val="en-US"/>
        </w:rPr>
        <w:t xml:space="preserve">’ </w:t>
      </w:r>
      <w:r>
        <w:rPr>
          <w:rFonts w:ascii="Arial" w:hAnsi="Arial"/>
          <w:color w:val="00131f"/>
          <w:sz w:val="24"/>
          <w:szCs w:val="24"/>
          <w:shd w:val="clear" w:color="auto" w:fill="ffffff"/>
          <w:rtl w:val="0"/>
          <w:lang w:val="en-US"/>
        </w:rPr>
        <w:t xml:space="preserve">that Peter says to avoid in v. 6?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 - Manual">
    <w:name w:val="Normal - Manual"/>
    <w:next w:val="Normal - Manual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